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08B" w:rsidRPr="004D5275" w:rsidRDefault="00F773C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D5275">
        <w:rPr>
          <w:rFonts w:ascii="Times New Roman" w:hAnsi="Times New Roman" w:cs="Times New Roman"/>
          <w:b/>
          <w:sz w:val="18"/>
          <w:szCs w:val="18"/>
        </w:rPr>
        <w:t>COMISSÃO DE CONSTITUIÇÃO, JUSTIÇA E REDAÇÃO</w:t>
      </w:r>
    </w:p>
    <w:p w:rsidR="00DB308B" w:rsidRPr="004D5275" w:rsidRDefault="0072709B">
      <w:pPr>
        <w:spacing w:before="60" w:after="60" w:line="240" w:lineRule="auto"/>
        <w:jc w:val="center"/>
        <w:rPr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PROJETO DE LE</w:t>
      </w:r>
      <w:r w:rsidR="00374155">
        <w:rPr>
          <w:rFonts w:ascii="Times New Roman" w:hAnsi="Times New Roman" w:cs="Times New Roman"/>
          <w:sz w:val="18"/>
          <w:szCs w:val="18"/>
        </w:rPr>
        <w:t>I CM Nº. 38</w:t>
      </w:r>
      <w:r w:rsidR="00376B20">
        <w:rPr>
          <w:rFonts w:ascii="Times New Roman" w:hAnsi="Times New Roman" w:cs="Times New Roman"/>
          <w:sz w:val="18"/>
          <w:szCs w:val="18"/>
        </w:rPr>
        <w:t>/2016. PARECER Nº. 64</w:t>
      </w:r>
      <w:r w:rsidR="00F773C4" w:rsidRPr="004D5275">
        <w:rPr>
          <w:rFonts w:ascii="Times New Roman" w:hAnsi="Times New Roman" w:cs="Times New Roman"/>
          <w:sz w:val="18"/>
          <w:szCs w:val="18"/>
        </w:rPr>
        <w:t>/2016.</w:t>
      </w:r>
    </w:p>
    <w:p w:rsidR="004D5275" w:rsidRDefault="004D527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_GoBack"/>
      <w:bookmarkEnd w:id="0"/>
    </w:p>
    <w:p w:rsidR="00DB308B" w:rsidRDefault="004D527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D5275">
        <w:rPr>
          <w:rFonts w:ascii="Times New Roman" w:hAnsi="Times New Roman" w:cs="Times New Roman"/>
          <w:b/>
          <w:sz w:val="18"/>
          <w:szCs w:val="18"/>
        </w:rPr>
        <w:t>Relatório</w:t>
      </w:r>
    </w:p>
    <w:p w:rsidR="004D5275" w:rsidRPr="004D5275" w:rsidRDefault="004D527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D5275" w:rsidRPr="004D5275" w:rsidRDefault="004D5275" w:rsidP="004D5275">
      <w:pPr>
        <w:pStyle w:val="Ttulo2"/>
        <w:spacing w:before="0" w:after="0"/>
        <w:ind w:firstLine="1418"/>
        <w:jc w:val="both"/>
        <w:rPr>
          <w:rFonts w:ascii="Times New Roman" w:hAnsi="Times New Roman"/>
          <w:sz w:val="18"/>
          <w:szCs w:val="18"/>
        </w:rPr>
      </w:pPr>
      <w:r w:rsidRPr="004D5275">
        <w:rPr>
          <w:rFonts w:ascii="Times New Roman" w:hAnsi="Times New Roman"/>
          <w:sz w:val="18"/>
          <w:szCs w:val="18"/>
        </w:rPr>
        <w:t>De acordo com o vencido na 4ª Sessão Extraordinária, realizada em 8 de julho de 2016, oferecemos ao Projeto de Lei nº 038/2016, de autoria do Prefeito Municipal, a seguinte redação final:</w:t>
      </w:r>
    </w:p>
    <w:p w:rsidR="004D5275" w:rsidRDefault="004D5275" w:rsidP="004D5275">
      <w:pPr>
        <w:tabs>
          <w:tab w:val="left" w:pos="3402"/>
        </w:tabs>
        <w:ind w:left="1418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4D5275" w:rsidRPr="004D5275" w:rsidRDefault="004D5275" w:rsidP="004D5275">
      <w:pPr>
        <w:tabs>
          <w:tab w:val="left" w:pos="3402"/>
        </w:tabs>
        <w:ind w:left="1418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D5275">
        <w:rPr>
          <w:rFonts w:ascii="Times New Roman" w:hAnsi="Times New Roman" w:cs="Times New Roman"/>
          <w:i/>
          <w:sz w:val="18"/>
          <w:szCs w:val="18"/>
        </w:rPr>
        <w:t> “</w:t>
      </w:r>
      <w:r w:rsidRPr="004D5275">
        <w:rPr>
          <w:rFonts w:ascii="Times New Roman" w:hAnsi="Times New Roman" w:cs="Times New Roman"/>
          <w:b/>
          <w:bCs/>
          <w:sz w:val="18"/>
          <w:szCs w:val="18"/>
        </w:rPr>
        <w:t>CAPÍTULO I</w:t>
      </w:r>
    </w:p>
    <w:p w:rsidR="004D5275" w:rsidRPr="004D5275" w:rsidRDefault="004D5275" w:rsidP="004D5275">
      <w:pPr>
        <w:tabs>
          <w:tab w:val="left" w:pos="3402"/>
        </w:tabs>
        <w:ind w:left="1418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>DAS CONSIDERAÇÕES INICIAIS</w:t>
      </w:r>
    </w:p>
    <w:p w:rsidR="004D5275" w:rsidRPr="004D5275" w:rsidRDefault="004D5275" w:rsidP="004D5275">
      <w:pPr>
        <w:tabs>
          <w:tab w:val="left" w:pos="3402"/>
        </w:tabs>
        <w:ind w:left="1418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4D5275" w:rsidRPr="004D5275" w:rsidRDefault="004D5275" w:rsidP="004D5275">
      <w:pPr>
        <w:tabs>
          <w:tab w:val="left" w:pos="3402"/>
        </w:tabs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 xml:space="preserve">Art. 1º </w:t>
      </w:r>
      <w:r w:rsidRPr="004D5275">
        <w:rPr>
          <w:rFonts w:ascii="Times New Roman" w:hAnsi="Times New Roman" w:cs="Times New Roman"/>
          <w:sz w:val="18"/>
          <w:szCs w:val="18"/>
        </w:rPr>
        <w:t>Ficam estabelecidas, em cumprimento ao disposto no artigo 165, § 2º, da Constituição Federal, na Lei Complementar nº 101, de 04 de maio de 2000, na Lei Federal nº 4.320, de 17 de março de 1964, e no artigo 16, inciso II, da Lei Orgânica do Município de Garça, as diretrizes orçamentárias do Município de Garça para o exercício financeiro de 2017, cuja estrutura orçamentária obedecerá ao disposto nos Anexos desta Lei, compreendendo: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I.</w:t>
      </w:r>
      <w:r w:rsidRPr="004D5275">
        <w:rPr>
          <w:rFonts w:ascii="Times New Roman" w:hAnsi="Times New Roman" w:cs="Times New Roman"/>
          <w:sz w:val="18"/>
          <w:szCs w:val="18"/>
        </w:rPr>
        <w:tab/>
        <w:t>Anexo I: Despesas Obrigatórias;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II.</w:t>
      </w:r>
      <w:r w:rsidRPr="004D5275">
        <w:rPr>
          <w:rFonts w:ascii="Times New Roman" w:hAnsi="Times New Roman" w:cs="Times New Roman"/>
          <w:sz w:val="18"/>
          <w:szCs w:val="18"/>
        </w:rPr>
        <w:tab/>
        <w:t>Anexo II: Prioridades e Indicadores por Programas;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III.</w:t>
      </w:r>
      <w:r w:rsidRPr="004D5275">
        <w:rPr>
          <w:rFonts w:ascii="Times New Roman" w:hAnsi="Times New Roman" w:cs="Times New Roman"/>
          <w:sz w:val="18"/>
          <w:szCs w:val="18"/>
        </w:rPr>
        <w:tab/>
        <w:t>Anexo IIA: Programas, Metas e Ações;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IV.</w:t>
      </w:r>
      <w:r w:rsidRPr="004D5275">
        <w:rPr>
          <w:rFonts w:ascii="Times New Roman" w:hAnsi="Times New Roman" w:cs="Times New Roman"/>
          <w:sz w:val="18"/>
          <w:szCs w:val="18"/>
        </w:rPr>
        <w:tab/>
        <w:t>Anexo III: Metas Anuais;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V.</w:t>
      </w:r>
      <w:r w:rsidRPr="004D5275">
        <w:rPr>
          <w:rFonts w:ascii="Times New Roman" w:hAnsi="Times New Roman" w:cs="Times New Roman"/>
          <w:sz w:val="18"/>
          <w:szCs w:val="18"/>
        </w:rPr>
        <w:tab/>
        <w:t>Anexo IV: Avaliação do cumprimento das Metas Fiscais do Exercício Anterior;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VI.</w:t>
      </w:r>
      <w:r w:rsidRPr="004D5275">
        <w:rPr>
          <w:rFonts w:ascii="Times New Roman" w:hAnsi="Times New Roman" w:cs="Times New Roman"/>
          <w:sz w:val="18"/>
          <w:szCs w:val="18"/>
        </w:rPr>
        <w:tab/>
        <w:t>Anexo V: Metas Fiscais Atuais Comparadas com as Fixadas nos três Exercícios Anteriores;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VII.</w:t>
      </w:r>
      <w:r w:rsidRPr="004D5275">
        <w:rPr>
          <w:rFonts w:ascii="Times New Roman" w:hAnsi="Times New Roman" w:cs="Times New Roman"/>
          <w:sz w:val="18"/>
          <w:szCs w:val="18"/>
        </w:rPr>
        <w:tab/>
        <w:t xml:space="preserve">Anexo VI: Evolução do Patrimônio Líquido; 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VIII.</w:t>
      </w:r>
      <w:r w:rsidRPr="004D5275">
        <w:rPr>
          <w:rFonts w:ascii="Times New Roman" w:hAnsi="Times New Roman" w:cs="Times New Roman"/>
          <w:sz w:val="18"/>
          <w:szCs w:val="18"/>
        </w:rPr>
        <w:tab/>
        <w:t>Anexo VII: Origem e Aplicação dos Recursos Obtidos com Alienação de Ativos;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IX.</w:t>
      </w:r>
      <w:r w:rsidRPr="004D5275">
        <w:rPr>
          <w:rFonts w:ascii="Times New Roman" w:hAnsi="Times New Roman" w:cs="Times New Roman"/>
          <w:sz w:val="18"/>
          <w:szCs w:val="18"/>
        </w:rPr>
        <w:tab/>
        <w:t>Anexo VIII: Receitas e Despesas Previdenciárias do RPPS;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X.</w:t>
      </w:r>
      <w:r w:rsidRPr="004D5275">
        <w:rPr>
          <w:rFonts w:ascii="Times New Roman" w:hAnsi="Times New Roman" w:cs="Times New Roman"/>
          <w:sz w:val="18"/>
          <w:szCs w:val="18"/>
        </w:rPr>
        <w:tab/>
        <w:t>Anexo IX: Projeção Atuarial do RPPS;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XI.</w:t>
      </w:r>
      <w:r w:rsidRPr="004D5275">
        <w:rPr>
          <w:rFonts w:ascii="Times New Roman" w:hAnsi="Times New Roman" w:cs="Times New Roman"/>
          <w:sz w:val="18"/>
          <w:szCs w:val="18"/>
        </w:rPr>
        <w:tab/>
        <w:t>Anexo X: Estimativa e Compensação da Renúncia de Receita;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XII.</w:t>
      </w:r>
      <w:r w:rsidRPr="004D5275">
        <w:rPr>
          <w:rFonts w:ascii="Times New Roman" w:hAnsi="Times New Roman" w:cs="Times New Roman"/>
          <w:sz w:val="18"/>
          <w:szCs w:val="18"/>
        </w:rPr>
        <w:tab/>
        <w:t>Anexo XI: Margem de Expansão das Despesas Obrigatórias de Caráter Continuado; e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XIII.</w:t>
      </w:r>
      <w:r w:rsidRPr="004D5275">
        <w:rPr>
          <w:rFonts w:ascii="Times New Roman" w:hAnsi="Times New Roman" w:cs="Times New Roman"/>
          <w:sz w:val="18"/>
          <w:szCs w:val="18"/>
        </w:rPr>
        <w:tab/>
        <w:t>Anexo XII: Demonstrativo de Riscos Fiscais e Providências.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>Art. 2º</w:t>
      </w:r>
      <w:r w:rsidRPr="004D5275">
        <w:rPr>
          <w:rFonts w:ascii="Times New Roman" w:hAnsi="Times New Roman" w:cs="Times New Roman"/>
          <w:sz w:val="18"/>
          <w:szCs w:val="18"/>
        </w:rPr>
        <w:t xml:space="preserve"> A proposta orçamentária, que não conterá dispositivo estranho à previsão da receita e a fixação da despesa, face à Constituição Federal e à Lei de Responsabilidade Fiscal, deverá observar “reserva de contingência”, identificado pelo código 99999999, em montante equivalente a um por cento (1%) da Receita Corrente.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>Art. 3º</w:t>
      </w:r>
      <w:r w:rsidRPr="004D5275">
        <w:rPr>
          <w:rFonts w:ascii="Times New Roman" w:hAnsi="Times New Roman" w:cs="Times New Roman"/>
          <w:sz w:val="18"/>
          <w:szCs w:val="18"/>
        </w:rPr>
        <w:t xml:space="preserve"> A Lei Orçamentária Anual (LOA) compreenderá:</w:t>
      </w:r>
    </w:p>
    <w:p w:rsidR="004D5275" w:rsidRPr="004D5275" w:rsidRDefault="004D5275" w:rsidP="004D5275">
      <w:pPr>
        <w:pStyle w:val="Corpodetexto"/>
        <w:tabs>
          <w:tab w:val="left" w:pos="567"/>
        </w:tabs>
        <w:spacing w:beforeAutospacing="0" w:afterAutospacing="0"/>
        <w:ind w:left="1418"/>
        <w:rPr>
          <w:sz w:val="18"/>
          <w:szCs w:val="18"/>
        </w:rPr>
      </w:pPr>
    </w:p>
    <w:p w:rsidR="004D5275" w:rsidRPr="004D5275" w:rsidRDefault="004D5275" w:rsidP="004D5275">
      <w:pPr>
        <w:pStyle w:val="Corpodetexto"/>
        <w:spacing w:beforeAutospacing="0" w:afterAutospacing="0"/>
        <w:ind w:left="1418"/>
        <w:rPr>
          <w:sz w:val="18"/>
          <w:szCs w:val="18"/>
        </w:rPr>
      </w:pPr>
      <w:r w:rsidRPr="004D5275">
        <w:rPr>
          <w:sz w:val="18"/>
          <w:szCs w:val="18"/>
        </w:rPr>
        <w:t>I.</w:t>
      </w:r>
      <w:r w:rsidRPr="004D5275">
        <w:rPr>
          <w:sz w:val="18"/>
          <w:szCs w:val="18"/>
        </w:rPr>
        <w:tab/>
        <w:t>O orçamento fiscal referente aos Poderes Executivo e Legislativo do Município, seus fundos e entidades da administração direta e indireta; e</w:t>
      </w:r>
    </w:p>
    <w:p w:rsidR="004D5275" w:rsidRPr="004D5275" w:rsidRDefault="004D5275" w:rsidP="004D5275">
      <w:pPr>
        <w:pStyle w:val="Corpodetexto"/>
        <w:spacing w:beforeAutospacing="0" w:afterAutospacing="0"/>
        <w:ind w:left="1418"/>
        <w:rPr>
          <w:sz w:val="18"/>
          <w:szCs w:val="18"/>
        </w:rPr>
      </w:pPr>
      <w:r w:rsidRPr="004D5275">
        <w:rPr>
          <w:sz w:val="18"/>
          <w:szCs w:val="18"/>
        </w:rPr>
        <w:t>II.</w:t>
      </w:r>
      <w:r w:rsidRPr="004D5275">
        <w:rPr>
          <w:sz w:val="18"/>
          <w:szCs w:val="18"/>
        </w:rPr>
        <w:tab/>
        <w:t>O orçamento da seguridade social.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lastRenderedPageBreak/>
        <w:t>Art. 4º</w:t>
      </w:r>
      <w:r w:rsidRPr="004D5275">
        <w:rPr>
          <w:rFonts w:ascii="Times New Roman" w:hAnsi="Times New Roman" w:cs="Times New Roman"/>
          <w:sz w:val="18"/>
          <w:szCs w:val="18"/>
        </w:rPr>
        <w:t xml:space="preserve"> A Lei Orçamentária dispensará, na fixação da despesa e na estimativa da receita, atenção aos princípios de: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I.</w:t>
      </w:r>
      <w:r w:rsidRPr="004D5275">
        <w:rPr>
          <w:rFonts w:ascii="Times New Roman" w:hAnsi="Times New Roman" w:cs="Times New Roman"/>
          <w:sz w:val="18"/>
          <w:szCs w:val="18"/>
        </w:rPr>
        <w:tab/>
        <w:t>Austeridade na gestão dos recursos públicos;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II.</w:t>
      </w:r>
      <w:r w:rsidRPr="004D5275">
        <w:rPr>
          <w:rFonts w:ascii="Times New Roman" w:hAnsi="Times New Roman" w:cs="Times New Roman"/>
          <w:sz w:val="18"/>
          <w:szCs w:val="18"/>
        </w:rPr>
        <w:tab/>
        <w:t>Modernização da ação governamental; e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III.</w:t>
      </w:r>
      <w:r w:rsidRPr="004D5275">
        <w:rPr>
          <w:rFonts w:ascii="Times New Roman" w:hAnsi="Times New Roman" w:cs="Times New Roman"/>
          <w:sz w:val="18"/>
          <w:szCs w:val="18"/>
        </w:rPr>
        <w:tab/>
        <w:t>Princípio do equilíbrio orçamentário, tanto na previsão, como na execução do orçamento;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sz w:val="18"/>
          <w:szCs w:val="18"/>
        </w:rPr>
        <w:t>§ 1</w:t>
      </w:r>
      <w:r w:rsidRPr="004D5275">
        <w:rPr>
          <w:rFonts w:ascii="Times New Roman" w:hAnsi="Times New Roman" w:cs="Times New Roman"/>
          <w:sz w:val="18"/>
          <w:szCs w:val="18"/>
        </w:rPr>
        <w:t>º No caso de insuficiência de recursos durante a execução orçamentária, de acordo com o artigo 9º da Lei Complementar nº 101/2000, ficam estabelecidos os seguintes critérios para a ordem de limitação de empenho:</w:t>
      </w: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I.</w:t>
      </w:r>
      <w:r w:rsidRPr="004D5275">
        <w:rPr>
          <w:rFonts w:ascii="Times New Roman" w:hAnsi="Times New Roman" w:cs="Times New Roman"/>
          <w:sz w:val="18"/>
          <w:szCs w:val="18"/>
        </w:rPr>
        <w:tab/>
        <w:t>Obras não iniciadas;</w:t>
      </w: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II.</w:t>
      </w:r>
      <w:r w:rsidRPr="004D5275">
        <w:rPr>
          <w:rFonts w:ascii="Times New Roman" w:hAnsi="Times New Roman" w:cs="Times New Roman"/>
          <w:sz w:val="18"/>
          <w:szCs w:val="18"/>
        </w:rPr>
        <w:tab/>
        <w:t>Desapropriações;</w:t>
      </w: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III.</w:t>
      </w:r>
      <w:r w:rsidRPr="004D5275">
        <w:rPr>
          <w:rFonts w:ascii="Times New Roman" w:hAnsi="Times New Roman" w:cs="Times New Roman"/>
          <w:sz w:val="18"/>
          <w:szCs w:val="18"/>
        </w:rPr>
        <w:tab/>
        <w:t>Instalações, equipamentos e materiais permanentes;</w:t>
      </w: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IV.</w:t>
      </w:r>
      <w:r w:rsidRPr="004D5275">
        <w:rPr>
          <w:rFonts w:ascii="Times New Roman" w:hAnsi="Times New Roman" w:cs="Times New Roman"/>
          <w:sz w:val="18"/>
          <w:szCs w:val="18"/>
        </w:rPr>
        <w:tab/>
        <w:t>Serviços para a expansão da ação governamental;</w:t>
      </w: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V.</w:t>
      </w:r>
      <w:r w:rsidRPr="004D5275">
        <w:rPr>
          <w:rFonts w:ascii="Times New Roman" w:hAnsi="Times New Roman" w:cs="Times New Roman"/>
          <w:sz w:val="18"/>
          <w:szCs w:val="18"/>
        </w:rPr>
        <w:tab/>
        <w:t>Materiais de consumo para a expansão da ação governamental;</w:t>
      </w: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VI.</w:t>
      </w:r>
      <w:r w:rsidRPr="004D5275">
        <w:rPr>
          <w:rFonts w:ascii="Times New Roman" w:hAnsi="Times New Roman" w:cs="Times New Roman"/>
          <w:sz w:val="18"/>
          <w:szCs w:val="18"/>
        </w:rPr>
        <w:tab/>
        <w:t>Fomento ao esporte;</w:t>
      </w: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VII.</w:t>
      </w:r>
      <w:r w:rsidRPr="004D5275">
        <w:rPr>
          <w:rFonts w:ascii="Times New Roman" w:hAnsi="Times New Roman" w:cs="Times New Roman"/>
          <w:sz w:val="18"/>
          <w:szCs w:val="18"/>
        </w:rPr>
        <w:tab/>
        <w:t>Fomento à cultura;</w:t>
      </w: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VIII.</w:t>
      </w:r>
      <w:r w:rsidRPr="004D5275">
        <w:rPr>
          <w:rFonts w:ascii="Times New Roman" w:hAnsi="Times New Roman" w:cs="Times New Roman"/>
          <w:sz w:val="18"/>
          <w:szCs w:val="18"/>
        </w:rPr>
        <w:tab/>
        <w:t>Fomento ao desenvolvimento;</w:t>
      </w: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IX.</w:t>
      </w:r>
      <w:r w:rsidRPr="004D5275">
        <w:rPr>
          <w:rFonts w:ascii="Times New Roman" w:hAnsi="Times New Roman" w:cs="Times New Roman"/>
          <w:sz w:val="18"/>
          <w:szCs w:val="18"/>
        </w:rPr>
        <w:tab/>
        <w:t>Serviços para a manutenção da ação governamental;</w:t>
      </w: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X.</w:t>
      </w:r>
      <w:r w:rsidRPr="004D5275">
        <w:rPr>
          <w:rFonts w:ascii="Times New Roman" w:hAnsi="Times New Roman" w:cs="Times New Roman"/>
          <w:sz w:val="18"/>
          <w:szCs w:val="18"/>
        </w:rPr>
        <w:tab/>
        <w:t>Materiais de consumo para a manutenção da ação governamental; e</w:t>
      </w: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XI.</w:t>
      </w:r>
      <w:r w:rsidRPr="004D5275">
        <w:rPr>
          <w:rFonts w:ascii="Times New Roman" w:hAnsi="Times New Roman" w:cs="Times New Roman"/>
          <w:sz w:val="18"/>
          <w:szCs w:val="18"/>
        </w:rPr>
        <w:tab/>
        <w:t>Contratação de Pessoal.</w:t>
      </w: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sz w:val="18"/>
          <w:szCs w:val="18"/>
        </w:rPr>
        <w:t>§ 2º</w:t>
      </w:r>
      <w:r w:rsidRPr="004D5275">
        <w:rPr>
          <w:rFonts w:ascii="Times New Roman" w:hAnsi="Times New Roman" w:cs="Times New Roman"/>
          <w:sz w:val="18"/>
          <w:szCs w:val="18"/>
        </w:rPr>
        <w:t xml:space="preserve"> </w:t>
      </w:r>
      <w:r w:rsidRPr="004D52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Não serão objeto de limitação </w:t>
      </w:r>
      <w:r w:rsidRPr="004D5275">
        <w:rPr>
          <w:rFonts w:ascii="Times New Roman" w:hAnsi="Times New Roman" w:cs="Times New Roman"/>
          <w:sz w:val="18"/>
          <w:szCs w:val="18"/>
        </w:rPr>
        <w:t>as despesas que constituam obrigações constitucionais e legais, os valores legalmente vinculados, bem como os ressalvados por esta Lei, conforme disposto no § 2º, do artigo 9º da Lei Complementar 101/2000.</w:t>
      </w:r>
    </w:p>
    <w:p w:rsidR="004D5275" w:rsidRPr="004D5275" w:rsidRDefault="004D5275" w:rsidP="004D5275">
      <w:pPr>
        <w:autoSpaceDE w:val="0"/>
        <w:ind w:left="1418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5275" w:rsidRPr="004D5275" w:rsidRDefault="004D5275" w:rsidP="004D5275">
      <w:pPr>
        <w:autoSpaceDE w:val="0"/>
        <w:ind w:left="1418"/>
        <w:jc w:val="both"/>
        <w:rPr>
          <w:rFonts w:ascii="Times New Roman" w:hAnsi="Times New Roman" w:cs="Times New Roman"/>
          <w:b/>
          <w:sz w:val="18"/>
          <w:szCs w:val="18"/>
        </w:rPr>
      </w:pPr>
      <w:r w:rsidRPr="004D5275">
        <w:rPr>
          <w:rFonts w:ascii="Times New Roman" w:hAnsi="Times New Roman" w:cs="Times New Roman"/>
          <w:b/>
          <w:sz w:val="18"/>
          <w:szCs w:val="18"/>
        </w:rPr>
        <w:t>§ 3º</w:t>
      </w:r>
      <w:r w:rsidRPr="004D5275">
        <w:rPr>
          <w:rFonts w:ascii="Times New Roman" w:hAnsi="Times New Roman" w:cs="Times New Roman"/>
          <w:sz w:val="18"/>
          <w:szCs w:val="18"/>
        </w:rPr>
        <w:t xml:space="preserve"> As determinações para limitação de empenhos serão expedidas pela Secretaria Municipal de Fazenda, Planejamento e Finanças, quando verificar que as realizações de receitas e despesas não comportarão o cumprimento das metas fiscais estabelecidas nesta Lei, na forma prevista pelo artigo 9º da Lei Complementar 101/2000.</w:t>
      </w:r>
    </w:p>
    <w:p w:rsidR="004D5275" w:rsidRPr="004D5275" w:rsidRDefault="004D5275" w:rsidP="004D5275">
      <w:pPr>
        <w:autoSpaceDE w:val="0"/>
        <w:ind w:left="1418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5275" w:rsidRPr="004D5275" w:rsidRDefault="004D5275" w:rsidP="004D5275">
      <w:pPr>
        <w:autoSpaceDE w:val="0"/>
        <w:ind w:left="1418"/>
        <w:jc w:val="both"/>
        <w:rPr>
          <w:rFonts w:ascii="Times New Roman" w:hAnsi="Times New Roman" w:cs="Times New Roman"/>
          <w:b/>
          <w:sz w:val="18"/>
          <w:szCs w:val="18"/>
        </w:rPr>
      </w:pPr>
      <w:r w:rsidRPr="004D5275">
        <w:rPr>
          <w:rFonts w:ascii="Times New Roman" w:hAnsi="Times New Roman" w:cs="Times New Roman"/>
          <w:b/>
          <w:sz w:val="18"/>
          <w:szCs w:val="18"/>
        </w:rPr>
        <w:t>§ 4º</w:t>
      </w:r>
      <w:r w:rsidRPr="004D5275">
        <w:rPr>
          <w:rFonts w:ascii="Times New Roman" w:hAnsi="Times New Roman" w:cs="Times New Roman"/>
          <w:sz w:val="18"/>
          <w:szCs w:val="18"/>
        </w:rPr>
        <w:t xml:space="preserve"> Para viabilizar a operacionalização do parágrafo anterior, os órgãos da administração indireta enviarão à Secretaria Municipal da Fazenda, Planejamento e Finanças os quadros de acompanhamento das metas fiscais até o décimo dia após o encerramento de cada bimestre.</w:t>
      </w:r>
    </w:p>
    <w:p w:rsidR="004D5275" w:rsidRPr="004D5275" w:rsidRDefault="004D5275" w:rsidP="004D5275">
      <w:pPr>
        <w:autoSpaceDE w:val="0"/>
        <w:ind w:left="1418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5275" w:rsidRPr="004D5275" w:rsidRDefault="004D5275" w:rsidP="004D5275">
      <w:pPr>
        <w:autoSpaceDE w:val="0"/>
        <w:ind w:left="1418"/>
        <w:jc w:val="both"/>
        <w:rPr>
          <w:rFonts w:ascii="Times New Roman" w:hAnsi="Times New Roman" w:cs="Times New Roman"/>
          <w:b/>
          <w:sz w:val="18"/>
          <w:szCs w:val="18"/>
        </w:rPr>
      </w:pPr>
      <w:r w:rsidRPr="004D5275">
        <w:rPr>
          <w:rFonts w:ascii="Times New Roman" w:hAnsi="Times New Roman" w:cs="Times New Roman"/>
          <w:b/>
          <w:sz w:val="18"/>
          <w:szCs w:val="18"/>
        </w:rPr>
        <w:t>§ 5º</w:t>
      </w:r>
      <w:r w:rsidRPr="004D5275">
        <w:rPr>
          <w:rFonts w:ascii="Times New Roman" w:hAnsi="Times New Roman" w:cs="Times New Roman"/>
          <w:sz w:val="18"/>
          <w:szCs w:val="18"/>
        </w:rPr>
        <w:t xml:space="preserve"> As limitações de empenhos será operacionalizada, dentre outras formas, através da suspensão do recebimento de requisições de materiais e de serviços, além de solicitações de empenhos, por parte do Secretário Municipal da Fazenda, Planejamento e Finanças, na administração direta, e por parte dos órgãos de contabilidade e do superior hierárquico (Diretor Superintendente</w:t>
      </w:r>
      <w:r w:rsidRPr="004D5275">
        <w:rPr>
          <w:rFonts w:ascii="Times New Roman" w:hAnsi="Times New Roman" w:cs="Times New Roman"/>
          <w:color w:val="000000"/>
          <w:sz w:val="18"/>
          <w:szCs w:val="18"/>
        </w:rPr>
        <w:t xml:space="preserve"> ou Diretor Executivo</w:t>
      </w:r>
      <w:r w:rsidRPr="004D5275">
        <w:rPr>
          <w:rFonts w:ascii="Times New Roman" w:hAnsi="Times New Roman" w:cs="Times New Roman"/>
          <w:sz w:val="18"/>
          <w:szCs w:val="18"/>
        </w:rPr>
        <w:t>) nos órgãos da administração indireta.</w:t>
      </w:r>
    </w:p>
    <w:p w:rsidR="004D5275" w:rsidRPr="004D5275" w:rsidRDefault="004D5275" w:rsidP="004D5275">
      <w:pPr>
        <w:autoSpaceDE w:val="0"/>
        <w:ind w:left="1418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5275" w:rsidRPr="004D5275" w:rsidRDefault="004D5275" w:rsidP="004D5275">
      <w:pPr>
        <w:autoSpaceDE w:val="0"/>
        <w:ind w:left="1418"/>
        <w:jc w:val="both"/>
        <w:rPr>
          <w:rFonts w:ascii="Times New Roman" w:hAnsi="Times New Roman" w:cs="Times New Roman"/>
          <w:b/>
          <w:sz w:val="18"/>
          <w:szCs w:val="18"/>
        </w:rPr>
      </w:pPr>
      <w:r w:rsidRPr="004D5275">
        <w:rPr>
          <w:rFonts w:ascii="Times New Roman" w:hAnsi="Times New Roman" w:cs="Times New Roman"/>
          <w:b/>
          <w:sz w:val="18"/>
          <w:szCs w:val="18"/>
        </w:rPr>
        <w:lastRenderedPageBreak/>
        <w:t>§ 6º</w:t>
      </w:r>
      <w:r w:rsidRPr="004D5275">
        <w:rPr>
          <w:rFonts w:ascii="Times New Roman" w:hAnsi="Times New Roman" w:cs="Times New Roman"/>
          <w:sz w:val="18"/>
          <w:szCs w:val="18"/>
        </w:rPr>
        <w:t xml:space="preserve"> A limitação de empenhos será mantida até que a Secretaria Municipal de Fazenda, Planejamento e Finanças verifique e demonstre a possibilidade do cumprimento das metas fiscais.</w:t>
      </w:r>
    </w:p>
    <w:p w:rsidR="004D5275" w:rsidRPr="004D5275" w:rsidRDefault="004D5275" w:rsidP="004D5275">
      <w:pPr>
        <w:autoSpaceDE w:val="0"/>
        <w:ind w:left="1418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5275" w:rsidRPr="004D5275" w:rsidRDefault="004D5275" w:rsidP="004D5275">
      <w:pPr>
        <w:autoSpaceDE w:val="0"/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sz w:val="18"/>
          <w:szCs w:val="18"/>
        </w:rPr>
        <w:t>§ 7º</w:t>
      </w:r>
      <w:r w:rsidRPr="004D5275">
        <w:rPr>
          <w:rFonts w:ascii="Times New Roman" w:hAnsi="Times New Roman" w:cs="Times New Roman"/>
          <w:sz w:val="18"/>
          <w:szCs w:val="18"/>
        </w:rPr>
        <w:t xml:space="preserve"> No caso de restabelecimento da receita prevista, ainda que parcial, a recomposição das dotações, cujos empenhos foram limitados, dar-se-á de forma proporcional às reduções efetivadas.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pStyle w:val="Ttulo3"/>
        <w:tabs>
          <w:tab w:val="num" w:pos="0"/>
        </w:tabs>
        <w:spacing w:before="0"/>
        <w:ind w:left="1418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>CAPÍTULO II</w:t>
      </w:r>
    </w:p>
    <w:p w:rsidR="004D5275" w:rsidRPr="004D5275" w:rsidRDefault="004D5275" w:rsidP="004D5275">
      <w:pPr>
        <w:pStyle w:val="Ttulo3"/>
        <w:tabs>
          <w:tab w:val="num" w:pos="0"/>
        </w:tabs>
        <w:spacing w:before="0"/>
        <w:ind w:left="1418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>DA ELABORAÇÃO DA PROPOSTA ORÇAMENTÁRIA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 xml:space="preserve">Art. 5º </w:t>
      </w:r>
      <w:r w:rsidRPr="004D5275">
        <w:rPr>
          <w:rFonts w:ascii="Times New Roman" w:hAnsi="Times New Roman" w:cs="Times New Roman"/>
          <w:sz w:val="18"/>
          <w:szCs w:val="18"/>
        </w:rPr>
        <w:t>A proposta orçamentária do Município para o exercício de 2017 observará o que dispõe esta Lei, devendo ser encaminhada pelo Poder Executivo à Câmara Municipal contendo: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I.</w:t>
      </w:r>
      <w:r w:rsidRPr="004D5275">
        <w:rPr>
          <w:rFonts w:ascii="Times New Roman" w:hAnsi="Times New Roman" w:cs="Times New Roman"/>
          <w:sz w:val="18"/>
          <w:szCs w:val="18"/>
        </w:rPr>
        <w:tab/>
        <w:t>Mensagem;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II.</w:t>
      </w:r>
      <w:r w:rsidRPr="004D5275">
        <w:rPr>
          <w:rFonts w:ascii="Times New Roman" w:hAnsi="Times New Roman" w:cs="Times New Roman"/>
          <w:sz w:val="18"/>
          <w:szCs w:val="18"/>
        </w:rPr>
        <w:tab/>
        <w:t>Projeto de lei orçamentária; e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III.</w:t>
      </w:r>
      <w:r w:rsidRPr="004D5275">
        <w:rPr>
          <w:rFonts w:ascii="Times New Roman" w:hAnsi="Times New Roman" w:cs="Times New Roman"/>
          <w:sz w:val="18"/>
          <w:szCs w:val="18"/>
        </w:rPr>
        <w:tab/>
        <w:t>Demonstrativos dos efeitos sobre as receitas e despesas, decorrentes de isenções, anistias, remissões, subsídios e benefícios de natureza financeira e tributária.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 xml:space="preserve">Art. 6º </w:t>
      </w:r>
      <w:r w:rsidRPr="004D5275">
        <w:rPr>
          <w:rFonts w:ascii="Times New Roman" w:hAnsi="Times New Roman" w:cs="Times New Roman"/>
          <w:sz w:val="18"/>
          <w:szCs w:val="18"/>
        </w:rPr>
        <w:t>A proposta orçamentária anual atenderá às diretrizes gerais e aos princípios da unidade, universalidade e anualidade, não podendo o montante das despesas fixadas excederem a previsão da receita para o exercício, observando-se os seguintes objetivos: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I.</w:t>
      </w:r>
      <w:r w:rsidRPr="004D5275">
        <w:rPr>
          <w:rFonts w:ascii="Times New Roman" w:hAnsi="Times New Roman" w:cs="Times New Roman"/>
          <w:sz w:val="18"/>
          <w:szCs w:val="18"/>
        </w:rPr>
        <w:tab/>
        <w:t>Combater a pobreza, promover a cidadania e a inclusão social;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II.</w:t>
      </w:r>
      <w:r w:rsidRPr="004D5275">
        <w:rPr>
          <w:rFonts w:ascii="Times New Roman" w:hAnsi="Times New Roman" w:cs="Times New Roman"/>
          <w:sz w:val="18"/>
          <w:szCs w:val="18"/>
        </w:rPr>
        <w:tab/>
        <w:t>Apoiar estudantes carentes na realização do ensino médio e superior;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III.</w:t>
      </w:r>
      <w:r w:rsidRPr="004D5275">
        <w:rPr>
          <w:rFonts w:ascii="Times New Roman" w:hAnsi="Times New Roman" w:cs="Times New Roman"/>
          <w:sz w:val="18"/>
          <w:szCs w:val="18"/>
        </w:rPr>
        <w:tab/>
        <w:t>Promover o desenvolvimento econômico do Município;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IV.</w:t>
      </w:r>
      <w:r w:rsidRPr="004D5275">
        <w:rPr>
          <w:rFonts w:ascii="Times New Roman" w:hAnsi="Times New Roman" w:cs="Times New Roman"/>
          <w:sz w:val="18"/>
          <w:szCs w:val="18"/>
        </w:rPr>
        <w:tab/>
        <w:t>Reestruturar os serviços administrativos;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V.</w:t>
      </w:r>
      <w:r w:rsidRPr="004D5275">
        <w:rPr>
          <w:rFonts w:ascii="Times New Roman" w:hAnsi="Times New Roman" w:cs="Times New Roman"/>
          <w:sz w:val="18"/>
          <w:szCs w:val="18"/>
        </w:rPr>
        <w:tab/>
        <w:t>Buscar maior eficiência na arrecadação;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VI.</w:t>
      </w:r>
      <w:r w:rsidRPr="004D5275">
        <w:rPr>
          <w:rFonts w:ascii="Times New Roman" w:hAnsi="Times New Roman" w:cs="Times New Roman"/>
          <w:sz w:val="18"/>
          <w:szCs w:val="18"/>
        </w:rPr>
        <w:tab/>
        <w:t>Prestar assistência à criança e ao adolescente;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VII.</w:t>
      </w:r>
      <w:r w:rsidRPr="004D5275">
        <w:rPr>
          <w:rFonts w:ascii="Times New Roman" w:hAnsi="Times New Roman" w:cs="Times New Roman"/>
          <w:sz w:val="18"/>
          <w:szCs w:val="18"/>
        </w:rPr>
        <w:tab/>
        <w:t>Melhorar a infraestrutura urbana; e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VIII.</w:t>
      </w:r>
      <w:r w:rsidRPr="004D5275">
        <w:rPr>
          <w:rFonts w:ascii="Times New Roman" w:hAnsi="Times New Roman" w:cs="Times New Roman"/>
          <w:sz w:val="18"/>
          <w:szCs w:val="18"/>
        </w:rPr>
        <w:tab/>
        <w:t>Oferecer assistência médica, odontológica e ambulatorial à população carente.</w:t>
      </w:r>
    </w:p>
    <w:p w:rsidR="004D5275" w:rsidRPr="008A6F69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Default="008A6F69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8A6F69">
        <w:rPr>
          <w:rFonts w:ascii="Times New Roman" w:hAnsi="Times New Roman" w:cs="Times New Roman"/>
          <w:b/>
          <w:bCs/>
          <w:sz w:val="18"/>
          <w:szCs w:val="18"/>
        </w:rPr>
        <w:t xml:space="preserve">Art. 7º </w:t>
      </w:r>
      <w:r w:rsidRPr="008A6F69">
        <w:rPr>
          <w:rFonts w:ascii="Times New Roman" w:hAnsi="Times New Roman" w:cs="Times New Roman"/>
          <w:sz w:val="18"/>
          <w:szCs w:val="18"/>
        </w:rPr>
        <w:t>A Prefeitura Municipal, as Autarquias e a Câmara Municipal deverão proceder, no mês de janeiro, à atualização da remuneração e proventos do funcionalismo público, incluindo os aposentados e pensionistas, observados os índices inflacionários oficiais apurados nos últimos doze meses.</w:t>
      </w:r>
    </w:p>
    <w:p w:rsidR="008A6F69" w:rsidRPr="008A6F69" w:rsidRDefault="008A6F69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 xml:space="preserve">Art. 8º </w:t>
      </w:r>
      <w:r w:rsidRPr="004D5275">
        <w:rPr>
          <w:rFonts w:ascii="Times New Roman" w:hAnsi="Times New Roman" w:cs="Times New Roman"/>
          <w:sz w:val="18"/>
          <w:szCs w:val="18"/>
        </w:rPr>
        <w:t>O Poder Executivo é autorizado, nos termos da Constituição Federal, a: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I.</w:t>
      </w:r>
      <w:r w:rsidRPr="004D5275">
        <w:rPr>
          <w:rFonts w:ascii="Times New Roman" w:hAnsi="Times New Roman" w:cs="Times New Roman"/>
          <w:sz w:val="18"/>
          <w:szCs w:val="18"/>
        </w:rPr>
        <w:tab/>
        <w:t>Realizar operações de crédito por antecipação da receita, nos termos da legislação em vigor;</w:t>
      </w:r>
    </w:p>
    <w:p w:rsid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II.</w:t>
      </w:r>
      <w:r w:rsidRPr="004D5275">
        <w:rPr>
          <w:rFonts w:ascii="Times New Roman" w:hAnsi="Times New Roman" w:cs="Times New Roman"/>
          <w:sz w:val="18"/>
          <w:szCs w:val="18"/>
        </w:rPr>
        <w:tab/>
        <w:t>Realizar operações de crédito até o limite estabelecido pela legislação em vigor.</w:t>
      </w:r>
    </w:p>
    <w:p w:rsidR="008A6F69" w:rsidRPr="004D5275" w:rsidRDefault="008A6F69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8A6F69" w:rsidRPr="008A6F69" w:rsidRDefault="008A6F69" w:rsidP="008A6F69">
      <w:pPr>
        <w:ind w:left="1134"/>
        <w:jc w:val="both"/>
        <w:rPr>
          <w:rFonts w:ascii="Times New Roman" w:hAnsi="Times New Roman" w:cs="Times New Roman"/>
          <w:sz w:val="18"/>
          <w:szCs w:val="18"/>
        </w:rPr>
      </w:pPr>
      <w:r w:rsidRPr="008A6F69">
        <w:rPr>
          <w:rFonts w:ascii="Times New Roman" w:hAnsi="Times New Roman" w:cs="Times New Roman"/>
          <w:b/>
          <w:sz w:val="18"/>
          <w:szCs w:val="18"/>
        </w:rPr>
        <w:lastRenderedPageBreak/>
        <w:t>Parágrafo único.</w:t>
      </w:r>
      <w:r w:rsidRPr="008A6F69">
        <w:rPr>
          <w:rFonts w:ascii="Times New Roman" w:hAnsi="Times New Roman" w:cs="Times New Roman"/>
          <w:sz w:val="18"/>
          <w:szCs w:val="18"/>
        </w:rPr>
        <w:t xml:space="preserve"> As operações de crédito previstas neste artigo dependerão de autorização legislativa específica, outorgada por lei especial em cada operação.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color w:val="000000"/>
          <w:sz w:val="18"/>
          <w:szCs w:val="18"/>
        </w:rPr>
        <w:t>Art. 9º</w:t>
      </w:r>
      <w:r w:rsidRPr="004D5275">
        <w:rPr>
          <w:rFonts w:ascii="Times New Roman" w:hAnsi="Times New Roman" w:cs="Times New Roman"/>
          <w:color w:val="000000"/>
          <w:sz w:val="18"/>
          <w:szCs w:val="18"/>
        </w:rPr>
        <w:t xml:space="preserve"> Os Poderes Executivo e Legislativo estão autorizados, nos termos do </w:t>
      </w:r>
      <w:r w:rsidRPr="004D527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§ 8º,</w:t>
      </w:r>
      <w:r w:rsidRPr="004D5275">
        <w:rPr>
          <w:rFonts w:ascii="Times New Roman" w:hAnsi="Times New Roman" w:cs="Times New Roman"/>
          <w:color w:val="000000"/>
          <w:sz w:val="18"/>
          <w:szCs w:val="18"/>
        </w:rPr>
        <w:t xml:space="preserve"> do artigo 165 da Constituição Federal, a abrirem créditos adicionais suplementares até o limite de 30% (trinta por cento) do orçamento de suas despesas.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4D5275" w:rsidRPr="004D5275" w:rsidRDefault="004D5275" w:rsidP="004D5275">
      <w:pPr>
        <w:autoSpaceDE w:val="0"/>
        <w:ind w:left="1418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Parágrafo único. </w:t>
      </w:r>
      <w:r w:rsidRPr="004D5275">
        <w:rPr>
          <w:rFonts w:ascii="Times New Roman" w:hAnsi="Times New Roman" w:cs="Times New Roman"/>
          <w:color w:val="000000"/>
          <w:sz w:val="18"/>
          <w:szCs w:val="18"/>
        </w:rPr>
        <w:t xml:space="preserve">A Administração Municipal poderá promover, sem incidência sobre o percentual de alteração orçamentária previsto no </w:t>
      </w:r>
      <w:r w:rsidRPr="004D5275">
        <w:rPr>
          <w:rFonts w:ascii="Times New Roman" w:hAnsi="Times New Roman" w:cs="Times New Roman"/>
          <w:i/>
          <w:color w:val="000000"/>
          <w:sz w:val="18"/>
          <w:szCs w:val="18"/>
        </w:rPr>
        <w:t>caput</w:t>
      </w:r>
      <w:r w:rsidRPr="004D5275">
        <w:rPr>
          <w:rFonts w:ascii="Times New Roman" w:hAnsi="Times New Roman" w:cs="Times New Roman"/>
          <w:color w:val="000000"/>
          <w:sz w:val="18"/>
          <w:szCs w:val="18"/>
        </w:rPr>
        <w:t>:</w:t>
      </w:r>
    </w:p>
    <w:p w:rsidR="004D5275" w:rsidRPr="004D5275" w:rsidRDefault="004D5275" w:rsidP="004D5275">
      <w:pPr>
        <w:autoSpaceDE w:val="0"/>
        <w:ind w:left="1418"/>
        <w:rPr>
          <w:rFonts w:ascii="Times New Roman" w:hAnsi="Times New Roman" w:cs="Times New Roman"/>
          <w:color w:val="000000"/>
          <w:sz w:val="18"/>
          <w:szCs w:val="18"/>
        </w:rPr>
      </w:pPr>
    </w:p>
    <w:p w:rsidR="004D5275" w:rsidRPr="004D5275" w:rsidRDefault="004D5275" w:rsidP="004D5275">
      <w:pPr>
        <w:autoSpaceDE w:val="0"/>
        <w:ind w:left="1418"/>
        <w:rPr>
          <w:rFonts w:ascii="Times New Roman" w:hAnsi="Times New Roman" w:cs="Times New Roman"/>
          <w:color w:val="000000"/>
          <w:sz w:val="18"/>
          <w:szCs w:val="18"/>
        </w:rPr>
      </w:pPr>
      <w:r w:rsidRPr="004D5275">
        <w:rPr>
          <w:rFonts w:ascii="Times New Roman" w:hAnsi="Times New Roman" w:cs="Times New Roman"/>
          <w:color w:val="000000"/>
          <w:sz w:val="18"/>
          <w:szCs w:val="18"/>
        </w:rPr>
        <w:t>I.</w:t>
      </w:r>
      <w:r w:rsidRPr="004D5275">
        <w:rPr>
          <w:rFonts w:ascii="Times New Roman" w:hAnsi="Times New Roman" w:cs="Times New Roman"/>
          <w:color w:val="000000"/>
          <w:sz w:val="18"/>
          <w:szCs w:val="18"/>
        </w:rPr>
        <w:tab/>
        <w:t>Suplementações destinadas a reforçar as dotações de pessoal e reflexos;</w:t>
      </w:r>
    </w:p>
    <w:p w:rsidR="004D5275" w:rsidRPr="004D5275" w:rsidRDefault="004D5275" w:rsidP="004D5275">
      <w:pPr>
        <w:autoSpaceDE w:val="0"/>
        <w:ind w:left="1418"/>
        <w:rPr>
          <w:rFonts w:ascii="Times New Roman" w:hAnsi="Times New Roman" w:cs="Times New Roman"/>
          <w:color w:val="000000"/>
          <w:sz w:val="18"/>
          <w:szCs w:val="18"/>
        </w:rPr>
      </w:pPr>
      <w:r w:rsidRPr="004D5275">
        <w:rPr>
          <w:rFonts w:ascii="Times New Roman" w:hAnsi="Times New Roman" w:cs="Times New Roman"/>
          <w:color w:val="000000"/>
          <w:sz w:val="18"/>
          <w:szCs w:val="18"/>
        </w:rPr>
        <w:t>II.</w:t>
      </w:r>
      <w:r w:rsidRPr="004D5275">
        <w:rPr>
          <w:rFonts w:ascii="Times New Roman" w:hAnsi="Times New Roman" w:cs="Times New Roman"/>
          <w:color w:val="000000"/>
          <w:sz w:val="18"/>
          <w:szCs w:val="18"/>
        </w:rPr>
        <w:tab/>
        <w:t>Suplementações de dotações vinculadas a recursos de outras fontes, até o limite dos valores efetivamente recebidos;</w:t>
      </w:r>
    </w:p>
    <w:p w:rsidR="004D5275" w:rsidRPr="004D5275" w:rsidRDefault="004D5275" w:rsidP="004D5275">
      <w:pPr>
        <w:ind w:left="1418" w:right="-1369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color w:val="000000"/>
          <w:sz w:val="18"/>
          <w:szCs w:val="18"/>
        </w:rPr>
        <w:t>III.</w:t>
      </w:r>
      <w:r w:rsidRPr="004D5275">
        <w:rPr>
          <w:rFonts w:ascii="Times New Roman" w:hAnsi="Times New Roman" w:cs="Times New Roman"/>
          <w:color w:val="000000"/>
          <w:sz w:val="18"/>
          <w:szCs w:val="18"/>
        </w:rPr>
        <w:tab/>
        <w:t>Remanejamento de recursos dentro de uma mesma unidade orçamentária.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>Art. 10.</w:t>
      </w:r>
      <w:r w:rsidRPr="004D5275">
        <w:rPr>
          <w:rFonts w:ascii="Times New Roman" w:hAnsi="Times New Roman" w:cs="Times New Roman"/>
          <w:bCs/>
          <w:sz w:val="18"/>
          <w:szCs w:val="18"/>
        </w:rPr>
        <w:t xml:space="preserve"> Caso o projeto de lei orçamentária não seja devolvido para sanção até o encerramento da sessão legislativa, deverá sua programação ser executada, a cada mês, na proporção de até 1/12 do total da despesa orçada.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 xml:space="preserve">Parágrafo único. </w:t>
      </w:r>
      <w:r w:rsidRPr="004D5275">
        <w:rPr>
          <w:rFonts w:ascii="Times New Roman" w:hAnsi="Times New Roman" w:cs="Times New Roman"/>
          <w:sz w:val="18"/>
          <w:szCs w:val="18"/>
        </w:rPr>
        <w:t>Para atender o disposto na Lei de Responsabilidade Fiscal, o Poder Executivo e as Autarquias Municipais se incumbirão de estabelecer, até 30 (trinta) dias após a publicação da Lei Orçamentária, a programação financeira e o cronograma de execução mensal de desembolso.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b/>
          <w:sz w:val="18"/>
          <w:szCs w:val="18"/>
        </w:rPr>
      </w:pPr>
      <w:r w:rsidRPr="004D5275">
        <w:rPr>
          <w:rFonts w:ascii="Times New Roman" w:hAnsi="Times New Roman" w:cs="Times New Roman"/>
          <w:b/>
          <w:sz w:val="18"/>
          <w:szCs w:val="18"/>
        </w:rPr>
        <w:t xml:space="preserve">Art. 11. </w:t>
      </w:r>
      <w:r w:rsidRPr="004D5275">
        <w:rPr>
          <w:rFonts w:ascii="Times New Roman" w:hAnsi="Times New Roman" w:cs="Times New Roman"/>
          <w:sz w:val="18"/>
          <w:szCs w:val="18"/>
        </w:rPr>
        <w:t>As despesas com publicidade e propaganda, bem como para execução de obras, decorrentes do orçamento participativo, serão destacadas em específica categoria programática, sob denominação que permita a sua clara identificação.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sz w:val="18"/>
          <w:szCs w:val="18"/>
        </w:rPr>
        <w:t>Art. 12.</w:t>
      </w:r>
      <w:r w:rsidRPr="004D5275">
        <w:rPr>
          <w:rFonts w:ascii="Times New Roman" w:hAnsi="Times New Roman" w:cs="Times New Roman"/>
          <w:sz w:val="18"/>
          <w:szCs w:val="18"/>
        </w:rPr>
        <w:t xml:space="preserve"> Ficam proibidas as seguintes despesas: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I.</w:t>
      </w:r>
      <w:r w:rsidRPr="004D5275">
        <w:rPr>
          <w:rFonts w:ascii="Times New Roman" w:hAnsi="Times New Roman" w:cs="Times New Roman"/>
          <w:sz w:val="18"/>
          <w:szCs w:val="18"/>
        </w:rPr>
        <w:tab/>
        <w:t>Pagamento, a qualquer título, a empresas privadas que tenham em seu quadro societário servidor público da ativa;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II.</w:t>
      </w:r>
      <w:r w:rsidRPr="004D5275">
        <w:rPr>
          <w:rFonts w:ascii="Times New Roman" w:hAnsi="Times New Roman" w:cs="Times New Roman"/>
          <w:sz w:val="18"/>
          <w:szCs w:val="18"/>
        </w:rPr>
        <w:tab/>
        <w:t>Obras cujo custo global supere à mediana de seus correspondentes utilizados na Administração Pública Federal e Estadual;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III.</w:t>
      </w:r>
      <w:r w:rsidRPr="004D5275">
        <w:rPr>
          <w:rFonts w:ascii="Times New Roman" w:hAnsi="Times New Roman" w:cs="Times New Roman"/>
          <w:sz w:val="18"/>
          <w:szCs w:val="18"/>
        </w:rPr>
        <w:tab/>
        <w:t>Pagamento de horas extras a ocupantes de cargos em comissão;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IV.</w:t>
      </w:r>
      <w:r w:rsidRPr="004D5275">
        <w:rPr>
          <w:rFonts w:ascii="Times New Roman" w:hAnsi="Times New Roman" w:cs="Times New Roman"/>
          <w:sz w:val="18"/>
          <w:szCs w:val="18"/>
        </w:rPr>
        <w:tab/>
        <w:t>Pagamento de sessões extraordinárias aos Vereadores;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V.</w:t>
      </w:r>
      <w:r w:rsidRPr="004D5275">
        <w:rPr>
          <w:rFonts w:ascii="Times New Roman" w:hAnsi="Times New Roman" w:cs="Times New Roman"/>
          <w:sz w:val="18"/>
          <w:szCs w:val="18"/>
        </w:rPr>
        <w:tab/>
        <w:t>Pagamento de verbas de gabinete aos Vereadores;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VI.</w:t>
      </w:r>
      <w:r w:rsidRPr="004D5275">
        <w:rPr>
          <w:rFonts w:ascii="Times New Roman" w:hAnsi="Times New Roman" w:cs="Times New Roman"/>
          <w:sz w:val="18"/>
          <w:szCs w:val="18"/>
        </w:rPr>
        <w:tab/>
        <w:t>Distribuição de agendas, chaveiros, buquês de flores, cartões e cestas de Natal entre outros brindes; e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VII.</w:t>
      </w:r>
      <w:r w:rsidRPr="004D5275">
        <w:rPr>
          <w:rFonts w:ascii="Times New Roman" w:hAnsi="Times New Roman" w:cs="Times New Roman"/>
          <w:sz w:val="18"/>
          <w:szCs w:val="18"/>
        </w:rPr>
        <w:tab/>
        <w:t>Pagamento de anuidade de servidores em conselhos profissionais como OAB, CREA, CRC, entre outros.</w:t>
      </w:r>
    </w:p>
    <w:p w:rsidR="004D5275" w:rsidRPr="004D5275" w:rsidRDefault="004D5275" w:rsidP="004D5275">
      <w:pPr>
        <w:pStyle w:val="Ttulo3"/>
        <w:tabs>
          <w:tab w:val="num" w:pos="0"/>
        </w:tabs>
        <w:spacing w:before="0"/>
        <w:ind w:left="1418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lastRenderedPageBreak/>
        <w:t>CAPÍTULO III</w:t>
      </w:r>
    </w:p>
    <w:p w:rsidR="004D5275" w:rsidRPr="004D5275" w:rsidRDefault="004D5275" w:rsidP="004D5275">
      <w:pPr>
        <w:ind w:left="1418"/>
        <w:jc w:val="center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>DO ORÇAMENTO FISCAL</w:t>
      </w:r>
    </w:p>
    <w:p w:rsidR="004D5275" w:rsidRPr="004D5275" w:rsidRDefault="004D5275" w:rsidP="004D5275">
      <w:pPr>
        <w:ind w:left="1418"/>
        <w:jc w:val="center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 xml:space="preserve">Art. 13. </w:t>
      </w:r>
      <w:r w:rsidRPr="004D5275">
        <w:rPr>
          <w:rFonts w:ascii="Times New Roman" w:hAnsi="Times New Roman" w:cs="Times New Roman"/>
          <w:sz w:val="18"/>
          <w:szCs w:val="18"/>
        </w:rPr>
        <w:t>O orçamento fiscal abrangerá os Poderes Executivo e Legislativo, bem como as entidades da administração direta e indireta, de modo a evidenciar as políticas e programas de governo, respeitados os princípios da unidade, da universalidade, da anualidade, da exclusividade, da publicidade e da legalidade.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 xml:space="preserve">Art. 14. </w:t>
      </w:r>
      <w:r w:rsidRPr="004D5275">
        <w:rPr>
          <w:rFonts w:ascii="Times New Roman" w:hAnsi="Times New Roman" w:cs="Times New Roman"/>
          <w:sz w:val="18"/>
          <w:szCs w:val="18"/>
        </w:rPr>
        <w:t>Na elaboração da proposta orçamentária serão atendidos, preferencialmente, os projetos e atividades constantes do Anexo IIA, o qual faz parte integrante desta Lei, podendo, na medida do interesse público envolvido, ser elencados novos programas, desde que necessários à execução de acordos e convênios firmados com outras esferas de governo.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 xml:space="preserve">Art. 15. </w:t>
      </w:r>
      <w:r w:rsidRPr="004D5275">
        <w:rPr>
          <w:rFonts w:ascii="Times New Roman" w:hAnsi="Times New Roman" w:cs="Times New Roman"/>
          <w:sz w:val="18"/>
          <w:szCs w:val="18"/>
        </w:rPr>
        <w:t>Fica autorizada a transferência de recursos financeiros às organizações da sociedade civil (entidades do Terceiro Setor), em regime de mútua cooperação, para a consecução de finalidades de interesse público, devendo ser observado o disposto na Lei nº 13.019, de 31 de julho de 2014, bem como Instruções e Resoluções do Tribunal de Contas do Estado de São Paulo.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 xml:space="preserve">§ 1º </w:t>
      </w:r>
      <w:r w:rsidRPr="004D5275">
        <w:rPr>
          <w:rFonts w:ascii="Times New Roman" w:hAnsi="Times New Roman" w:cs="Times New Roman"/>
          <w:sz w:val="18"/>
          <w:szCs w:val="18"/>
        </w:rPr>
        <w:t>Fica vedada a transferência de recursos financeiros às entidades que não prestarem contas dos recursos anteriormente recebidos, até 31 de janeiro de 2017.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>§ 2º</w:t>
      </w:r>
      <w:r w:rsidRPr="004D5275">
        <w:rPr>
          <w:rFonts w:ascii="Times New Roman" w:hAnsi="Times New Roman" w:cs="Times New Roman"/>
          <w:sz w:val="18"/>
          <w:szCs w:val="18"/>
        </w:rPr>
        <w:t xml:space="preserve"> A prestação de contas não poderá ultrapassar 31 (trinta e um) dias do encerramento do exercício, devendo o Poder Executivo, por meio de regulamento, instituir </w:t>
      </w:r>
      <w:r w:rsidRPr="004D5275">
        <w:rPr>
          <w:rFonts w:ascii="Times New Roman" w:eastAsia="Calibri" w:hAnsi="Times New Roman" w:cs="Times New Roman"/>
          <w:sz w:val="18"/>
          <w:szCs w:val="18"/>
        </w:rPr>
        <w:t>manual de orientação para formalização, execução e prestação de contas de repasses municipais às entidades do Terceiro Setor</w:t>
      </w:r>
      <w:r w:rsidRPr="004D5275">
        <w:rPr>
          <w:rFonts w:ascii="Times New Roman" w:hAnsi="Times New Roman" w:cs="Times New Roman"/>
          <w:sz w:val="18"/>
          <w:szCs w:val="18"/>
        </w:rPr>
        <w:t>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 xml:space="preserve">Art. 16. </w:t>
      </w:r>
      <w:r w:rsidRPr="004D5275">
        <w:rPr>
          <w:rFonts w:ascii="Times New Roman" w:hAnsi="Times New Roman" w:cs="Times New Roman"/>
          <w:sz w:val="18"/>
          <w:szCs w:val="18"/>
        </w:rPr>
        <w:t>O Poder Executivo enviará à Câmara Municipal, até 15 de outubro de 2015, o Projeto de Lei Orçamentária Anual (LOA) do exercício de 2017, o qual deverá ser apreciado até o final da Sessão Legislativa, devolvendo-o para sanção.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>CAPÍTULO IV</w:t>
      </w:r>
    </w:p>
    <w:p w:rsidR="004D5275" w:rsidRPr="004D5275" w:rsidRDefault="004D5275" w:rsidP="004D5275">
      <w:pPr>
        <w:ind w:left="1418"/>
        <w:jc w:val="center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>DAS DISPOSIÇOES FINAIS</w:t>
      </w:r>
    </w:p>
    <w:p w:rsidR="004D5275" w:rsidRPr="004D5275" w:rsidRDefault="004D5275" w:rsidP="004D5275">
      <w:pPr>
        <w:ind w:left="1418"/>
        <w:jc w:val="center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sz w:val="18"/>
          <w:szCs w:val="18"/>
        </w:rPr>
        <w:t>Art. 17.</w:t>
      </w:r>
      <w:r w:rsidRPr="004D5275">
        <w:rPr>
          <w:rFonts w:ascii="Times New Roman" w:hAnsi="Times New Roman" w:cs="Times New Roman"/>
          <w:sz w:val="18"/>
          <w:szCs w:val="18"/>
        </w:rPr>
        <w:t xml:space="preserve"> O sistema de controle interno do Poder Executivo, no âmbito de suas atribuições, exercerá a fiscalização e avaliação dos resultados, principalmente em relação a:</w:t>
      </w:r>
    </w:p>
    <w:p w:rsidR="004D5275" w:rsidRPr="004D5275" w:rsidRDefault="004D5275" w:rsidP="004D5275">
      <w:pPr>
        <w:ind w:left="1418"/>
        <w:jc w:val="both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 xml:space="preserve"> </w:t>
      </w: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I.</w:t>
      </w:r>
      <w:r w:rsidRPr="004D5275">
        <w:rPr>
          <w:rFonts w:ascii="Times New Roman" w:hAnsi="Times New Roman" w:cs="Times New Roman"/>
          <w:sz w:val="18"/>
          <w:szCs w:val="18"/>
        </w:rPr>
        <w:tab/>
        <w:t>Execução de obras;</w:t>
      </w: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II.</w:t>
      </w:r>
      <w:r w:rsidRPr="004D5275">
        <w:rPr>
          <w:rFonts w:ascii="Times New Roman" w:hAnsi="Times New Roman" w:cs="Times New Roman"/>
          <w:sz w:val="18"/>
          <w:szCs w:val="18"/>
        </w:rPr>
        <w:tab/>
        <w:t>Repasses a entidade do Terceiro Setor;</w:t>
      </w: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sz w:val="18"/>
          <w:szCs w:val="18"/>
        </w:rPr>
        <w:t>III.</w:t>
      </w:r>
      <w:r w:rsidRPr="004D5275">
        <w:rPr>
          <w:rFonts w:ascii="Times New Roman" w:hAnsi="Times New Roman" w:cs="Times New Roman"/>
          <w:sz w:val="18"/>
          <w:szCs w:val="18"/>
        </w:rPr>
        <w:tab/>
        <w:t>Execução Financeira e Orçamentária.</w:t>
      </w:r>
    </w:p>
    <w:p w:rsidR="004D5275" w:rsidRPr="004D5275" w:rsidRDefault="004D5275" w:rsidP="004D5275">
      <w:pPr>
        <w:ind w:left="1418"/>
        <w:rPr>
          <w:rFonts w:ascii="Times New Roman" w:hAnsi="Times New Roman" w:cs="Times New Roman"/>
          <w:sz w:val="18"/>
          <w:szCs w:val="18"/>
        </w:rPr>
      </w:pPr>
    </w:p>
    <w:p w:rsidR="004D5275" w:rsidRPr="004D5275" w:rsidRDefault="004D5275" w:rsidP="004D5275">
      <w:pPr>
        <w:ind w:left="1418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4D5275">
        <w:rPr>
          <w:rFonts w:ascii="Times New Roman" w:hAnsi="Times New Roman" w:cs="Times New Roman"/>
          <w:b/>
          <w:bCs/>
          <w:sz w:val="18"/>
          <w:szCs w:val="18"/>
        </w:rPr>
        <w:t>Art. 18.</w:t>
      </w:r>
      <w:r w:rsidRPr="004D5275">
        <w:rPr>
          <w:rFonts w:ascii="Times New Roman" w:hAnsi="Times New Roman" w:cs="Times New Roman"/>
          <w:sz w:val="18"/>
          <w:szCs w:val="18"/>
        </w:rPr>
        <w:t xml:space="preserve"> Esta Lei entrará em vigor na data de sua publicação, revogadas as disposições em contrário.</w:t>
      </w:r>
    </w:p>
    <w:p w:rsidR="00DB308B" w:rsidRPr="004D5275" w:rsidRDefault="00DB308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sectPr w:rsidR="00DB308B" w:rsidRPr="004D5275" w:rsidSect="004D5275">
      <w:headerReference w:type="default" r:id="rId7"/>
      <w:footerReference w:type="default" r:id="rId8"/>
      <w:pgSz w:w="11906" w:h="16838"/>
      <w:pgMar w:top="1134" w:right="851" w:bottom="1134" w:left="1701" w:header="709" w:footer="709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1E1" w:rsidRDefault="00F773C4">
      <w:pPr>
        <w:spacing w:line="240" w:lineRule="auto"/>
      </w:pPr>
      <w:r>
        <w:separator/>
      </w:r>
    </w:p>
  </w:endnote>
  <w:endnote w:type="continuationSeparator" w:id="0">
    <w:p w:rsidR="00F031E1" w:rsidRDefault="00F773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308B" w:rsidRDefault="00F773C4">
    <w:pPr>
      <w:pStyle w:val="Rodap"/>
      <w:pBdr>
        <w:top w:val="single" w:sz="4" w:space="1" w:color="00000A"/>
      </w:pBdr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Rua Barão do Rio Branco, 127/131 - Centro - CEP 17400-000 - Garça - SP</w:t>
    </w:r>
  </w:p>
  <w:p w:rsidR="00DB308B" w:rsidRDefault="00F773C4">
    <w:pPr>
      <w:pStyle w:val="Rodap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Telefone/Fax: (14) 3471-0950 / (14) 3471-1308</w:t>
    </w:r>
  </w:p>
  <w:p w:rsidR="00DB308B" w:rsidRDefault="00F773C4">
    <w:pPr>
      <w:pStyle w:val="Rodap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 xml:space="preserve">Site: www.cmgarca.sp.gov.br / </w:t>
    </w:r>
    <w:proofErr w:type="spellStart"/>
    <w:r>
      <w:rPr>
        <w:rFonts w:ascii="Times New Roman" w:hAnsi="Times New Roman" w:cs="Times New Roman"/>
        <w:sz w:val="20"/>
      </w:rPr>
      <w:t>email</w:t>
    </w:r>
    <w:proofErr w:type="spellEnd"/>
    <w:r>
      <w:rPr>
        <w:rFonts w:ascii="Times New Roman" w:hAnsi="Times New Roman" w:cs="Times New Roman"/>
        <w:sz w:val="20"/>
      </w:rPr>
      <w:t>: camara@cmgarca.sp.gov.br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1E1" w:rsidRDefault="00F773C4">
      <w:pPr>
        <w:spacing w:line="240" w:lineRule="auto"/>
      </w:pPr>
      <w:r>
        <w:separator/>
      </w:r>
    </w:p>
  </w:footnote>
  <w:footnote w:type="continuationSeparator" w:id="0">
    <w:p w:rsidR="00F031E1" w:rsidRDefault="00F773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308B" w:rsidRDefault="00F773C4">
    <w:pPr>
      <w:pStyle w:val="Cabealho"/>
      <w:jc w:val="center"/>
    </w:pPr>
    <w:r>
      <w:rPr>
        <w:noProof/>
        <w:lang w:eastAsia="pt-BR"/>
      </w:rPr>
      <w:drawing>
        <wp:inline distT="0" distB="0" distL="19050" distR="0">
          <wp:extent cx="609600" cy="723900"/>
          <wp:effectExtent l="0" t="0" r="0" b="0"/>
          <wp:docPr id="1" name="Imagem 0" descr="brasao1_cop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ao1_copy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1598" r="8346" b="5243"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23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B308B" w:rsidRDefault="00F773C4">
    <w:pPr>
      <w:pStyle w:val="Cabealho"/>
      <w:jc w:val="center"/>
      <w:rPr>
        <w:rFonts w:ascii="Times New Roman" w:hAnsi="Times New Roman" w:cs="Times New Roman"/>
        <w:b/>
        <w:sz w:val="32"/>
        <w:szCs w:val="36"/>
      </w:rPr>
    </w:pPr>
    <w:r>
      <w:rPr>
        <w:rFonts w:ascii="Times New Roman" w:hAnsi="Times New Roman" w:cs="Times New Roman"/>
        <w:b/>
        <w:sz w:val="32"/>
        <w:szCs w:val="36"/>
      </w:rPr>
      <w:t>CÂMARA MUNICIPAL DE GARÇA</w:t>
    </w:r>
  </w:p>
  <w:p w:rsidR="00DB308B" w:rsidRDefault="00F773C4">
    <w:pPr>
      <w:pStyle w:val="Cabealho"/>
      <w:pBdr>
        <w:bottom w:val="single" w:sz="4" w:space="1" w:color="00000A"/>
      </w:pBdr>
      <w:spacing w:after="360"/>
      <w:jc w:val="center"/>
      <w:rPr>
        <w:rFonts w:ascii="Times New Roman" w:hAnsi="Times New Roman" w:cs="Times New Roman"/>
        <w:szCs w:val="36"/>
      </w:rPr>
    </w:pPr>
    <w:r>
      <w:rPr>
        <w:rFonts w:ascii="Times New Roman" w:hAnsi="Times New Roman" w:cs="Times New Roman"/>
        <w:szCs w:val="36"/>
      </w:rPr>
      <w:t>ESTADO DE SÃO PAULO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08B"/>
    <w:rsid w:val="001606B0"/>
    <w:rsid w:val="00374155"/>
    <w:rsid w:val="00376B20"/>
    <w:rsid w:val="004D5275"/>
    <w:rsid w:val="0072709B"/>
    <w:rsid w:val="008A6F69"/>
    <w:rsid w:val="009B1E37"/>
    <w:rsid w:val="00DB308B"/>
    <w:rsid w:val="00F031E1"/>
    <w:rsid w:val="00F7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053CCC-E1A3-4A10-98DE-E918034C0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292"/>
  </w:style>
  <w:style w:type="paragraph" w:styleId="Ttulo1">
    <w:name w:val="heading 1"/>
    <w:basedOn w:val="Ttulo"/>
    <w:pPr>
      <w:outlineLvl w:val="0"/>
    </w:pPr>
  </w:style>
  <w:style w:type="paragraph" w:styleId="Ttulo2">
    <w:name w:val="heading 2"/>
    <w:basedOn w:val="Ttulo"/>
    <w:pPr>
      <w:outlineLvl w:val="1"/>
    </w:pPr>
  </w:style>
  <w:style w:type="paragraph" w:styleId="Ttulo3">
    <w:name w:val="heading 3"/>
    <w:basedOn w:val="Ttulo"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654A6"/>
    <w:rPr>
      <w:b/>
      <w:bCs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5654A6"/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qFormat/>
    <w:rsid w:val="005654A6"/>
    <w:rPr>
      <w:i/>
      <w:iCs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8B3F5E"/>
  </w:style>
  <w:style w:type="character" w:customStyle="1" w:styleId="RodapChar">
    <w:name w:val="Rodapé Char"/>
    <w:basedOn w:val="Fontepargpadro"/>
    <w:link w:val="Rodap"/>
    <w:uiPriority w:val="99"/>
    <w:qFormat/>
    <w:rsid w:val="008B3F5E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3F5E"/>
    <w:rPr>
      <w:rFonts w:ascii="Tahoma" w:hAnsi="Tahoma" w:cs="Tahoma"/>
      <w:sz w:val="16"/>
      <w:szCs w:val="16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AE774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qFormat/>
    <w:rsid w:val="00AE774C"/>
    <w:rPr>
      <w:vertAlign w:val="superscript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AF24A3"/>
    <w:rPr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654A6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8B3F5E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8B3F5E"/>
    <w:pPr>
      <w:tabs>
        <w:tab w:val="center" w:pos="4252"/>
        <w:tab w:val="right" w:pos="8504"/>
      </w:tabs>
      <w:spacing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3F5E"/>
    <w:pPr>
      <w:spacing w:line="240" w:lineRule="auto"/>
    </w:pPr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sid w:val="00AE774C"/>
    <w:pPr>
      <w:spacing w:line="240" w:lineRule="auto"/>
    </w:pPr>
    <w:rPr>
      <w:sz w:val="20"/>
      <w:szCs w:val="20"/>
    </w:rPr>
  </w:style>
  <w:style w:type="paragraph" w:styleId="NormalWeb">
    <w:name w:val="Normal (Web)"/>
    <w:basedOn w:val="Normal"/>
    <w:uiPriority w:val="99"/>
    <w:unhideWhenUsed/>
    <w:qFormat/>
    <w:rsid w:val="00AF773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apea">
    <w:name w:val="corpodapea"/>
    <w:basedOn w:val="Normal"/>
    <w:qFormat/>
    <w:rsid w:val="00655DC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AF24A3"/>
    <w:pPr>
      <w:spacing w:after="120"/>
      <w:ind w:left="283"/>
    </w:pPr>
    <w:rPr>
      <w:sz w:val="16"/>
      <w:szCs w:val="16"/>
    </w:rPr>
  </w:style>
  <w:style w:type="paragraph" w:customStyle="1" w:styleId="Citaes">
    <w:name w:val="Citações"/>
    <w:basedOn w:val="Normal"/>
    <w:qFormat/>
  </w:style>
  <w:style w:type="paragraph" w:customStyle="1" w:styleId="Ttulododocumento">
    <w:name w:val="Título do documento"/>
    <w:basedOn w:val="Ttulo"/>
  </w:style>
  <w:style w:type="paragraph" w:styleId="Subttulo">
    <w:name w:val="Subtitle"/>
    <w:basedOn w:val="Ttulo"/>
  </w:style>
  <w:style w:type="table" w:styleId="Tabelacomgrade">
    <w:name w:val="Table Grid"/>
    <w:basedOn w:val="Tabelanormal"/>
    <w:uiPriority w:val="59"/>
    <w:rsid w:val="004F4A0A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Fontepargpadro"/>
    <w:rsid w:val="004D52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B83C2-0ED3-4FE4-98D4-976601DAF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1695</Words>
  <Characters>9153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28</cp:revision>
  <cp:lastPrinted>2016-07-12T11:03:00Z</cp:lastPrinted>
  <dcterms:created xsi:type="dcterms:W3CDTF">2016-05-04T16:52:00Z</dcterms:created>
  <dcterms:modified xsi:type="dcterms:W3CDTF">2016-07-12T12:29:00Z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