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292" w:rsidRPr="00C32988" w:rsidRDefault="00C32988" w:rsidP="00C32988">
      <w:pPr>
        <w:jc w:val="center"/>
        <w:rPr>
          <w:rFonts w:ascii="Book Antiqua" w:hAnsi="Book Antiqua" w:cs="Arial"/>
          <w:b/>
          <w:sz w:val="28"/>
          <w:szCs w:val="24"/>
        </w:rPr>
      </w:pPr>
      <w:r w:rsidRPr="00C32988">
        <w:rPr>
          <w:rFonts w:ascii="Book Antiqua" w:hAnsi="Book Antiqua" w:cs="Arial"/>
          <w:b/>
          <w:sz w:val="28"/>
          <w:szCs w:val="24"/>
        </w:rPr>
        <w:t xml:space="preserve">COMISSÃO DE </w:t>
      </w:r>
      <w:r w:rsidR="004F4A0A">
        <w:rPr>
          <w:rFonts w:ascii="Book Antiqua" w:hAnsi="Book Antiqua" w:cs="Arial"/>
          <w:b/>
          <w:sz w:val="28"/>
          <w:szCs w:val="24"/>
        </w:rPr>
        <w:t>CONSTITUIÇÃO, JUSTIÇA E REDAÇÃO</w:t>
      </w:r>
    </w:p>
    <w:p w:rsidR="00C32988" w:rsidRPr="008B3F5E" w:rsidRDefault="008B3F5E" w:rsidP="00C32988">
      <w:pPr>
        <w:jc w:val="center"/>
        <w:rPr>
          <w:rFonts w:ascii="Book Antiqua" w:hAnsi="Book Antiqua" w:cs="Arial"/>
          <w:b/>
          <w:szCs w:val="24"/>
        </w:rPr>
      </w:pPr>
      <w:r w:rsidRPr="008B3F5E">
        <w:rPr>
          <w:rFonts w:ascii="Book Antiqua" w:hAnsi="Book Antiqua" w:cs="Arial"/>
          <w:b/>
          <w:szCs w:val="24"/>
        </w:rPr>
        <w:t xml:space="preserve">PROJETO DE </w:t>
      </w:r>
      <w:r w:rsidR="00BA53B4">
        <w:rPr>
          <w:rFonts w:ascii="Book Antiqua" w:hAnsi="Book Antiqua" w:cs="Arial"/>
          <w:b/>
          <w:szCs w:val="24"/>
        </w:rPr>
        <w:t xml:space="preserve">LEI CM Nº. </w:t>
      </w:r>
      <w:r w:rsidR="009B55E6">
        <w:rPr>
          <w:rFonts w:ascii="Book Antiqua" w:hAnsi="Book Antiqua" w:cs="Arial"/>
          <w:b/>
          <w:szCs w:val="24"/>
        </w:rPr>
        <w:t>31</w:t>
      </w:r>
      <w:r w:rsidR="00BA53B4">
        <w:rPr>
          <w:rFonts w:ascii="Book Antiqua" w:hAnsi="Book Antiqua" w:cs="Arial"/>
          <w:b/>
          <w:szCs w:val="24"/>
        </w:rPr>
        <w:t>/2013</w:t>
      </w:r>
      <w:r w:rsidRPr="008B3F5E">
        <w:rPr>
          <w:rFonts w:ascii="Book Antiqua" w:hAnsi="Book Antiqua" w:cs="Arial"/>
          <w:b/>
          <w:szCs w:val="24"/>
        </w:rPr>
        <w:t xml:space="preserve">. PARECER Nº. </w:t>
      </w:r>
      <w:r w:rsidR="00F32FFC">
        <w:rPr>
          <w:rFonts w:ascii="Book Antiqua" w:hAnsi="Book Antiqua" w:cs="Arial"/>
          <w:b/>
          <w:szCs w:val="24"/>
        </w:rPr>
        <w:t>4</w:t>
      </w:r>
      <w:r w:rsidR="00F50DB5">
        <w:rPr>
          <w:rFonts w:ascii="Book Antiqua" w:hAnsi="Book Antiqua" w:cs="Arial"/>
          <w:b/>
          <w:szCs w:val="24"/>
        </w:rPr>
        <w:t>9</w:t>
      </w:r>
      <w:r w:rsidRPr="008B3F5E">
        <w:rPr>
          <w:rFonts w:ascii="Book Antiqua" w:hAnsi="Book Antiqua" w:cs="Arial"/>
          <w:b/>
          <w:szCs w:val="24"/>
        </w:rPr>
        <w:t>/2013</w:t>
      </w:r>
    </w:p>
    <w:p w:rsidR="00E65CB3" w:rsidRPr="00D01B3E" w:rsidRDefault="00E65CB3" w:rsidP="00D01B3E">
      <w:pPr>
        <w:spacing w:line="240" w:lineRule="auto"/>
        <w:ind w:firstLine="1701"/>
        <w:jc w:val="both"/>
        <w:rPr>
          <w:rFonts w:ascii="Bookman Old Style" w:hAnsi="Bookman Old Style" w:cs="Arial"/>
          <w:sz w:val="20"/>
          <w:szCs w:val="20"/>
        </w:rPr>
      </w:pPr>
    </w:p>
    <w:p w:rsidR="00546768" w:rsidRPr="00D01B3E" w:rsidRDefault="00546768" w:rsidP="00D01B3E">
      <w:pPr>
        <w:spacing w:line="240" w:lineRule="auto"/>
        <w:ind w:firstLine="1701"/>
        <w:jc w:val="both"/>
        <w:rPr>
          <w:rFonts w:ascii="Bookman Old Style" w:eastAsia="Calibri" w:hAnsi="Bookman Old Style" w:cs="Arial"/>
          <w:sz w:val="20"/>
          <w:szCs w:val="20"/>
        </w:rPr>
      </w:pPr>
      <w:r w:rsidRPr="00D01B3E">
        <w:rPr>
          <w:rFonts w:ascii="Bookman Old Style" w:hAnsi="Bookman Old Style" w:cs="Arial"/>
          <w:sz w:val="20"/>
          <w:szCs w:val="20"/>
        </w:rPr>
        <w:t>De acordo com o vencido na 16</w:t>
      </w:r>
      <w:r w:rsidRPr="00D01B3E">
        <w:rPr>
          <w:rFonts w:ascii="Bookman Old Style" w:eastAsia="Calibri" w:hAnsi="Bookman Old Style" w:cs="Arial"/>
          <w:sz w:val="20"/>
          <w:szCs w:val="20"/>
        </w:rPr>
        <w:t>ª Sessão O</w:t>
      </w:r>
      <w:r w:rsidRPr="00D01B3E">
        <w:rPr>
          <w:rFonts w:ascii="Bookman Old Style" w:hAnsi="Bookman Old Style" w:cs="Arial"/>
          <w:sz w:val="20"/>
          <w:szCs w:val="20"/>
        </w:rPr>
        <w:t>rdinária, realizada em 20</w:t>
      </w:r>
      <w:r w:rsidRPr="00D01B3E">
        <w:rPr>
          <w:rFonts w:ascii="Bookman Old Style" w:eastAsia="Calibri" w:hAnsi="Bookman Old Style" w:cs="Arial"/>
          <w:sz w:val="20"/>
          <w:szCs w:val="20"/>
        </w:rPr>
        <w:t xml:space="preserve"> de </w:t>
      </w:r>
      <w:r w:rsidRPr="00D01B3E">
        <w:rPr>
          <w:rFonts w:ascii="Bookman Old Style" w:hAnsi="Bookman Old Style" w:cs="Arial"/>
          <w:sz w:val="20"/>
          <w:szCs w:val="20"/>
        </w:rPr>
        <w:t>maio</w:t>
      </w:r>
      <w:r w:rsidRPr="00D01B3E">
        <w:rPr>
          <w:rFonts w:ascii="Bookman Old Style" w:eastAsia="Calibri" w:hAnsi="Bookman Old Style" w:cs="Arial"/>
          <w:sz w:val="20"/>
          <w:szCs w:val="20"/>
        </w:rPr>
        <w:t xml:space="preserve"> de 2013, oferecemos ao Projeto de </w:t>
      </w:r>
      <w:r w:rsidRPr="00D01B3E">
        <w:rPr>
          <w:rFonts w:ascii="Bookman Old Style" w:hAnsi="Bookman Old Style" w:cs="Arial"/>
          <w:sz w:val="20"/>
          <w:szCs w:val="20"/>
        </w:rPr>
        <w:t>Lei</w:t>
      </w:r>
      <w:r w:rsidRPr="00D01B3E">
        <w:rPr>
          <w:rFonts w:ascii="Bookman Old Style" w:eastAsia="Calibri" w:hAnsi="Bookman Old Style" w:cs="Arial"/>
          <w:sz w:val="20"/>
          <w:szCs w:val="20"/>
        </w:rPr>
        <w:t xml:space="preserve"> nº </w:t>
      </w:r>
      <w:r w:rsidRPr="00D01B3E">
        <w:rPr>
          <w:rFonts w:ascii="Bookman Old Style" w:hAnsi="Bookman Old Style" w:cs="Arial"/>
          <w:sz w:val="20"/>
          <w:szCs w:val="20"/>
        </w:rPr>
        <w:t>31</w:t>
      </w:r>
      <w:r w:rsidRPr="00D01B3E">
        <w:rPr>
          <w:rFonts w:ascii="Bookman Old Style" w:eastAsia="Calibri" w:hAnsi="Bookman Old Style" w:cs="Arial"/>
          <w:sz w:val="20"/>
          <w:szCs w:val="20"/>
        </w:rPr>
        <w:t xml:space="preserve">/2013, </w:t>
      </w:r>
      <w:r w:rsidRPr="00D01B3E">
        <w:rPr>
          <w:rFonts w:ascii="Bookman Old Style" w:eastAsia="Calibri" w:hAnsi="Bookman Old Style" w:cs="Arial"/>
          <w:bCs/>
          <w:sz w:val="20"/>
          <w:szCs w:val="20"/>
        </w:rPr>
        <w:t xml:space="preserve">de autoria do </w:t>
      </w:r>
      <w:r w:rsidRPr="00D01B3E">
        <w:rPr>
          <w:rFonts w:ascii="Bookman Old Style" w:hAnsi="Bookman Old Style" w:cs="Arial"/>
          <w:bCs/>
          <w:sz w:val="20"/>
          <w:szCs w:val="20"/>
        </w:rPr>
        <w:t>Prefeito Municipal</w:t>
      </w:r>
      <w:r w:rsidRPr="00D01B3E">
        <w:rPr>
          <w:rFonts w:ascii="Bookman Old Style" w:eastAsia="Calibri" w:hAnsi="Bookman Old Style" w:cs="Times New Roman"/>
          <w:bCs/>
          <w:sz w:val="20"/>
          <w:szCs w:val="20"/>
        </w:rPr>
        <w:t xml:space="preserve">, </w:t>
      </w:r>
      <w:r w:rsidRPr="00D01B3E">
        <w:rPr>
          <w:rFonts w:ascii="Bookman Old Style" w:hAnsi="Bookman Old Style"/>
          <w:bCs/>
          <w:sz w:val="20"/>
          <w:szCs w:val="20"/>
        </w:rPr>
        <w:t xml:space="preserve">que disciplina os loteamentos fechados no Município e revoga a Lei Municipal nº 3.647/2003 e posteriores alterações, </w:t>
      </w:r>
      <w:r w:rsidRPr="00D01B3E">
        <w:rPr>
          <w:rFonts w:ascii="Bookman Old Style" w:eastAsia="Calibri" w:hAnsi="Bookman Old Style" w:cs="Arial"/>
          <w:sz w:val="20"/>
          <w:szCs w:val="20"/>
        </w:rPr>
        <w:t>a seguinte redação final:</w:t>
      </w:r>
    </w:p>
    <w:p w:rsidR="000C07C2" w:rsidRPr="00D01B3E" w:rsidRDefault="000C07C2" w:rsidP="00D01B3E">
      <w:pPr>
        <w:spacing w:line="240" w:lineRule="auto"/>
        <w:ind w:firstLine="1560"/>
        <w:jc w:val="both"/>
        <w:rPr>
          <w:rFonts w:ascii="Bookman Old Style" w:hAnsi="Bookman Old Style" w:cs="Arial"/>
          <w:sz w:val="20"/>
          <w:szCs w:val="20"/>
        </w:rPr>
      </w:pPr>
    </w:p>
    <w:p w:rsidR="00E65CB3" w:rsidRPr="0082200A" w:rsidRDefault="00D01B3E" w:rsidP="00D01B3E">
      <w:pPr>
        <w:spacing w:line="240" w:lineRule="auto"/>
        <w:ind w:firstLine="1701"/>
        <w:jc w:val="both"/>
        <w:rPr>
          <w:rFonts w:ascii="Bookman Old Style" w:hAnsi="Bookman Old Style"/>
          <w:i/>
          <w:color w:val="000000"/>
          <w:sz w:val="20"/>
          <w:szCs w:val="20"/>
        </w:rPr>
      </w:pPr>
      <w:r w:rsidRPr="0082200A">
        <w:rPr>
          <w:rFonts w:ascii="Bookman Old Style" w:hAnsi="Bookman Old Style"/>
          <w:b/>
          <w:i/>
          <w:color w:val="000000"/>
          <w:sz w:val="20"/>
          <w:szCs w:val="20"/>
        </w:rPr>
        <w:t>“</w:t>
      </w:r>
      <w:r w:rsidR="00E65CB3" w:rsidRPr="0082200A">
        <w:rPr>
          <w:rFonts w:ascii="Bookman Old Style" w:hAnsi="Bookman Old Style"/>
          <w:b/>
          <w:i/>
          <w:color w:val="000000"/>
          <w:sz w:val="20"/>
          <w:szCs w:val="20"/>
        </w:rPr>
        <w:t xml:space="preserve">Art. 1º </w:t>
      </w:r>
      <w:r w:rsidR="00E65CB3" w:rsidRPr="0082200A">
        <w:rPr>
          <w:rFonts w:ascii="Bookman Old Style" w:hAnsi="Bookman Old Style"/>
          <w:i/>
          <w:color w:val="000000"/>
          <w:sz w:val="20"/>
          <w:szCs w:val="20"/>
        </w:rPr>
        <w:t xml:space="preserve">Fica </w:t>
      </w:r>
      <w:r w:rsidR="00E65CB3" w:rsidRPr="0082200A">
        <w:rPr>
          <w:rFonts w:ascii="Bookman Old Style" w:hAnsi="Bookman Old Style"/>
          <w:i/>
          <w:sz w:val="20"/>
          <w:szCs w:val="20"/>
        </w:rPr>
        <w:t>autorizado o fechamento de loteamentos</w:t>
      </w:r>
      <w:r w:rsidR="00E65CB3" w:rsidRPr="0082200A">
        <w:rPr>
          <w:rFonts w:ascii="Bookman Old Style" w:hAnsi="Bookman Old Style"/>
          <w:i/>
          <w:color w:val="000000"/>
          <w:sz w:val="20"/>
          <w:szCs w:val="20"/>
        </w:rPr>
        <w:t xml:space="preserve"> no Município de Garça, para </w:t>
      </w:r>
      <w:proofErr w:type="gramStart"/>
      <w:r w:rsidR="00E65CB3" w:rsidRPr="0082200A">
        <w:rPr>
          <w:rFonts w:ascii="Bookman Old Style" w:hAnsi="Bookman Old Style"/>
          <w:i/>
          <w:color w:val="000000"/>
          <w:sz w:val="20"/>
          <w:szCs w:val="20"/>
        </w:rPr>
        <w:t>fins residencial e comercial, caracterizado pela separação da área utilizada, da malha viária urbana, por meio de muro, em todo o seu perímetro</w:t>
      </w:r>
      <w:proofErr w:type="gramEnd"/>
      <w:r w:rsidR="00E65CB3" w:rsidRPr="0082200A">
        <w:rPr>
          <w:rFonts w:ascii="Bookman Old Style" w:hAnsi="Bookman Old Style"/>
          <w:i/>
          <w:color w:val="000000"/>
          <w:sz w:val="20"/>
          <w:szCs w:val="20"/>
        </w:rPr>
        <w:t>.</w:t>
      </w: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r w:rsidRPr="0082200A">
        <w:rPr>
          <w:rFonts w:ascii="Bookman Old Style" w:eastAsia="Calibri" w:hAnsi="Bookman Old Style" w:cs="Times New Roman"/>
          <w:b/>
          <w:i/>
          <w:sz w:val="20"/>
          <w:szCs w:val="20"/>
        </w:rPr>
        <w:t xml:space="preserve">§ 1º </w:t>
      </w:r>
      <w:r w:rsidRPr="0082200A">
        <w:rPr>
          <w:rFonts w:ascii="Bookman Old Style" w:eastAsia="Calibri" w:hAnsi="Bookman Old Style" w:cs="Times New Roman"/>
          <w:i/>
          <w:sz w:val="20"/>
          <w:szCs w:val="20"/>
        </w:rPr>
        <w:t>O muro poderá ser substituído por outro sistema de fechamento, desde que aprovado pela Prefeitura Municipal.</w:t>
      </w:r>
    </w:p>
    <w:p w:rsidR="00546768" w:rsidRPr="0082200A" w:rsidRDefault="00546768" w:rsidP="00D01B3E">
      <w:pPr>
        <w:spacing w:line="240" w:lineRule="auto"/>
        <w:ind w:firstLine="1701"/>
        <w:jc w:val="both"/>
        <w:rPr>
          <w:rFonts w:ascii="Bookman Old Style" w:eastAsia="Calibri" w:hAnsi="Bookman Old Style" w:cs="Times New Roman"/>
          <w:b/>
          <w:i/>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r w:rsidRPr="0082200A">
        <w:rPr>
          <w:rFonts w:ascii="Bookman Old Style" w:eastAsia="Calibri" w:hAnsi="Bookman Old Style" w:cs="Times New Roman"/>
          <w:b/>
          <w:i/>
          <w:sz w:val="20"/>
          <w:szCs w:val="20"/>
        </w:rPr>
        <w:t xml:space="preserve">§ 2º </w:t>
      </w:r>
      <w:r w:rsidRPr="0082200A">
        <w:rPr>
          <w:rFonts w:ascii="Bookman Old Style" w:eastAsia="Calibri" w:hAnsi="Bookman Old Style" w:cs="Times New Roman"/>
          <w:i/>
          <w:sz w:val="20"/>
          <w:szCs w:val="20"/>
        </w:rPr>
        <w:t xml:space="preserve">Os muros ou fechamento não poderão estar voltados diretamente para as vias públicas, sendo que, quando esta situação for inevitável, deverá ser prevista uma faixa destinada à área verde com largura mínima de </w:t>
      </w:r>
      <w:smartTag w:uri="urn:schemas-microsoft-com:office:smarttags" w:element="metricconverter">
        <w:smartTagPr>
          <w:attr w:name="ProductID" w:val="5,00 metros"/>
        </w:smartTagPr>
        <w:r w:rsidRPr="0082200A">
          <w:rPr>
            <w:rFonts w:ascii="Bookman Old Style" w:eastAsia="Calibri" w:hAnsi="Bookman Old Style" w:cs="Times New Roman"/>
            <w:i/>
            <w:sz w:val="20"/>
            <w:szCs w:val="20"/>
          </w:rPr>
          <w:t>5,00 metros</w:t>
        </w:r>
      </w:smartTag>
      <w:r w:rsidRPr="0082200A">
        <w:rPr>
          <w:rFonts w:ascii="Bookman Old Style" w:eastAsia="Calibri" w:hAnsi="Bookman Old Style" w:cs="Times New Roman"/>
          <w:i/>
          <w:sz w:val="20"/>
          <w:szCs w:val="20"/>
        </w:rPr>
        <w:t xml:space="preserve"> entre o passeio e o muro, a qual poderá ser computada como parte do total exigido para o loteamento.</w:t>
      </w:r>
    </w:p>
    <w:p w:rsidR="00546768" w:rsidRPr="0082200A" w:rsidRDefault="00546768" w:rsidP="00D01B3E">
      <w:pPr>
        <w:spacing w:line="240" w:lineRule="auto"/>
        <w:ind w:firstLine="1701"/>
        <w:jc w:val="both"/>
        <w:rPr>
          <w:rFonts w:ascii="Bookman Old Style" w:eastAsia="Calibri" w:hAnsi="Bookman Old Style" w:cs="Times New Roman"/>
          <w:b/>
          <w:i/>
          <w:sz w:val="20"/>
          <w:szCs w:val="20"/>
        </w:rPr>
      </w:pPr>
    </w:p>
    <w:p w:rsidR="00E65CB3" w:rsidRPr="0082200A" w:rsidRDefault="00E65CB3" w:rsidP="00D01B3E">
      <w:pPr>
        <w:spacing w:line="240" w:lineRule="auto"/>
        <w:ind w:firstLine="1701"/>
        <w:jc w:val="both"/>
        <w:rPr>
          <w:rFonts w:ascii="Bookman Old Style" w:hAnsi="Bookman Old Style"/>
          <w:i/>
          <w:color w:val="000000"/>
          <w:sz w:val="20"/>
          <w:szCs w:val="20"/>
        </w:rPr>
      </w:pPr>
      <w:r w:rsidRPr="0082200A">
        <w:rPr>
          <w:rFonts w:ascii="Bookman Old Style" w:hAnsi="Bookman Old Style"/>
          <w:b/>
          <w:i/>
          <w:color w:val="000000"/>
          <w:sz w:val="20"/>
          <w:szCs w:val="20"/>
        </w:rPr>
        <w:t xml:space="preserve">§ 3º </w:t>
      </w:r>
      <w:r w:rsidRPr="0082200A">
        <w:rPr>
          <w:rFonts w:ascii="Bookman Old Style" w:hAnsi="Bookman Old Style"/>
          <w:i/>
          <w:color w:val="000000"/>
          <w:sz w:val="20"/>
          <w:szCs w:val="20"/>
        </w:rPr>
        <w:t xml:space="preserve">Os requisitos urbanísticos relativos à edificação nos lotes do </w:t>
      </w:r>
      <w:r w:rsidRPr="0082200A">
        <w:rPr>
          <w:rFonts w:ascii="Bookman Old Style" w:hAnsi="Bookman Old Style"/>
          <w:i/>
          <w:sz w:val="20"/>
          <w:szCs w:val="20"/>
        </w:rPr>
        <w:t>loteamento de que trata a presente Lei</w:t>
      </w:r>
      <w:r w:rsidRPr="0082200A">
        <w:rPr>
          <w:rFonts w:ascii="Bookman Old Style" w:hAnsi="Bookman Old Style"/>
          <w:i/>
          <w:color w:val="000000"/>
          <w:sz w:val="20"/>
          <w:szCs w:val="20"/>
        </w:rPr>
        <w:t>, deverão obedecer às disposições da Lei Municipal nº 3.360/1999 (Código de Obras) e da Lei Municipal nº 4.388/2009 (Parcelamento do Solo do Município), sem prejuízo das constantes desta Lei.</w:t>
      </w:r>
    </w:p>
    <w:p w:rsidR="00546768" w:rsidRPr="0082200A" w:rsidRDefault="00546768" w:rsidP="00D01B3E">
      <w:pPr>
        <w:spacing w:line="240" w:lineRule="auto"/>
        <w:ind w:firstLine="1701"/>
        <w:jc w:val="both"/>
        <w:rPr>
          <w:rFonts w:ascii="Bookman Old Style" w:eastAsia="Calibri" w:hAnsi="Bookman Old Style" w:cs="Times New Roman"/>
          <w:b/>
          <w:i/>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r w:rsidRPr="0082200A">
        <w:rPr>
          <w:rFonts w:ascii="Bookman Old Style" w:eastAsia="Calibri" w:hAnsi="Bookman Old Style" w:cs="Times New Roman"/>
          <w:b/>
          <w:i/>
          <w:sz w:val="20"/>
          <w:szCs w:val="20"/>
        </w:rPr>
        <w:t>Art. 2º</w:t>
      </w:r>
      <w:r w:rsidRPr="0082200A">
        <w:rPr>
          <w:rFonts w:ascii="Bookman Old Style" w:eastAsia="Calibri" w:hAnsi="Bookman Old Style" w:cs="Times New Roman"/>
          <w:i/>
          <w:sz w:val="20"/>
          <w:szCs w:val="20"/>
        </w:rPr>
        <w:t xml:space="preserve"> As áreas públicas de lazer, as áreas verdes e as vias de circulação que serão objeto de permissão de uso, deverão ser definidas por ocasião da aprovação do loteamento, observando-se as exigências da Lei Federal nº 6.766/79 e demais legislações estaduais e municipais.</w:t>
      </w: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r w:rsidRPr="0082200A">
        <w:rPr>
          <w:rFonts w:ascii="Bookman Old Style" w:eastAsia="Calibri" w:hAnsi="Bookman Old Style" w:cs="Times New Roman"/>
          <w:b/>
          <w:i/>
          <w:sz w:val="20"/>
          <w:szCs w:val="20"/>
        </w:rPr>
        <w:t>Art. 3º</w:t>
      </w:r>
      <w:r w:rsidRPr="0082200A">
        <w:rPr>
          <w:rFonts w:ascii="Bookman Old Style" w:eastAsia="Calibri" w:hAnsi="Bookman Old Style" w:cs="Times New Roman"/>
          <w:i/>
          <w:sz w:val="20"/>
          <w:szCs w:val="20"/>
        </w:rPr>
        <w:t xml:space="preserve"> A permissão de uso das áreas públicas de lazer, das áreas verdes e das vias de circulação somente serão autorizadas quando os loteadores comprometerem-se, a submeter, a administração destas à Associação dos Proprietários, a qual será constituída sob a forma de pessoa jurídica, com a explícita definição de responsabilidade para aquela finalidade.</w:t>
      </w:r>
    </w:p>
    <w:p w:rsidR="00546768" w:rsidRPr="0082200A" w:rsidRDefault="00546768" w:rsidP="00D01B3E">
      <w:pPr>
        <w:spacing w:line="240" w:lineRule="auto"/>
        <w:ind w:firstLine="1701"/>
        <w:jc w:val="both"/>
        <w:rPr>
          <w:rFonts w:ascii="Bookman Old Style" w:eastAsia="Calibri" w:hAnsi="Bookman Old Style" w:cs="Times New Roman"/>
          <w:b/>
          <w:i/>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r w:rsidRPr="0082200A">
        <w:rPr>
          <w:rFonts w:ascii="Bookman Old Style" w:eastAsia="Calibri" w:hAnsi="Bookman Old Style" w:cs="Times New Roman"/>
          <w:b/>
          <w:i/>
          <w:sz w:val="20"/>
          <w:szCs w:val="20"/>
        </w:rPr>
        <w:t xml:space="preserve">Parágrafo único. </w:t>
      </w:r>
      <w:r w:rsidRPr="0082200A">
        <w:rPr>
          <w:rFonts w:ascii="Bookman Old Style" w:eastAsia="Calibri" w:hAnsi="Bookman Old Style" w:cs="Times New Roman"/>
          <w:i/>
          <w:sz w:val="20"/>
          <w:szCs w:val="20"/>
        </w:rPr>
        <w:t>Caberá à Administração Pública, quando da aprovação do projeto de loteamento, definir as áreas públicas de lazer e as áreas verdes, que poderão estar situadas, totalmente ou parcialmente, fora da parte fechada do loteamento, para melhor aproveitamento dos moradores adjacentes, devendo ser mantidas sob a responsabilidade da Associação dos Proprietários ou do loteador, que exercerá a manutenção e defesa da utilização prevista no projeto.</w:t>
      </w:r>
    </w:p>
    <w:p w:rsidR="00546768" w:rsidRPr="0082200A" w:rsidRDefault="00546768" w:rsidP="00D01B3E">
      <w:pPr>
        <w:spacing w:line="240" w:lineRule="auto"/>
        <w:ind w:firstLine="1701"/>
        <w:jc w:val="both"/>
        <w:rPr>
          <w:rFonts w:ascii="Bookman Old Style" w:eastAsia="Calibri" w:hAnsi="Bookman Old Style" w:cs="Times New Roman"/>
          <w:b/>
          <w:i/>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r w:rsidRPr="0082200A">
        <w:rPr>
          <w:rFonts w:ascii="Bookman Old Style" w:eastAsia="Calibri" w:hAnsi="Bookman Old Style" w:cs="Times New Roman"/>
          <w:b/>
          <w:i/>
          <w:sz w:val="20"/>
          <w:szCs w:val="20"/>
        </w:rPr>
        <w:t xml:space="preserve">Art. 4º </w:t>
      </w:r>
      <w:r w:rsidRPr="0082200A">
        <w:rPr>
          <w:rFonts w:ascii="Bookman Old Style" w:eastAsia="Calibri" w:hAnsi="Bookman Old Style" w:cs="Times New Roman"/>
          <w:i/>
          <w:sz w:val="20"/>
          <w:szCs w:val="20"/>
        </w:rPr>
        <w:t xml:space="preserve">As áreas institucionais definidas por ocasião do projeto de loteamento deverão estar situadas fora da parte fechada, numa distância de até </w:t>
      </w:r>
      <w:smartTag w:uri="urn:schemas-microsoft-com:office:smarttags" w:element="metricconverter">
        <w:smartTagPr>
          <w:attr w:name="ProductID" w:val="300,00 metros"/>
        </w:smartTagPr>
        <w:r w:rsidRPr="0082200A">
          <w:rPr>
            <w:rFonts w:ascii="Bookman Old Style" w:eastAsia="Calibri" w:hAnsi="Bookman Old Style" w:cs="Times New Roman"/>
            <w:i/>
            <w:sz w:val="20"/>
            <w:szCs w:val="20"/>
          </w:rPr>
          <w:t>300,00 metros</w:t>
        </w:r>
      </w:smartTag>
      <w:r w:rsidRPr="0082200A">
        <w:rPr>
          <w:rFonts w:ascii="Bookman Old Style" w:eastAsia="Calibri" w:hAnsi="Bookman Old Style" w:cs="Times New Roman"/>
          <w:i/>
          <w:sz w:val="20"/>
          <w:szCs w:val="20"/>
        </w:rPr>
        <w:t xml:space="preserve"> da mesma, devendo ser mantida sob a responsabilidade da Associação dos Proprietários ou do loteador, que exercerá, supletivamente, a manutenção e defesa da utilização prevista no projeto, até que a Prefeitura exerça plenamente esta função, instalando os equipamentos institucionais necessários.</w:t>
      </w: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r w:rsidRPr="0082200A">
        <w:rPr>
          <w:rFonts w:ascii="Bookman Old Style" w:eastAsia="Calibri" w:hAnsi="Bookman Old Style" w:cs="Times New Roman"/>
          <w:b/>
          <w:i/>
          <w:sz w:val="20"/>
          <w:szCs w:val="20"/>
        </w:rPr>
        <w:t xml:space="preserve">Parágrafo único. </w:t>
      </w:r>
      <w:r w:rsidRPr="0082200A">
        <w:rPr>
          <w:rFonts w:ascii="Bookman Old Style" w:eastAsia="Calibri" w:hAnsi="Bookman Old Style" w:cs="Times New Roman"/>
          <w:i/>
          <w:sz w:val="20"/>
          <w:szCs w:val="20"/>
        </w:rPr>
        <w:t xml:space="preserve">Observado o caput deste artigo e a critério da Administração Pública, às áreas institucionais definidas por ocasião do projeto de loteamento </w:t>
      </w:r>
      <w:r w:rsidRPr="0082200A">
        <w:rPr>
          <w:rFonts w:ascii="Bookman Old Style" w:eastAsia="Calibri" w:hAnsi="Bookman Old Style" w:cs="Times New Roman"/>
          <w:i/>
          <w:sz w:val="20"/>
          <w:szCs w:val="20"/>
        </w:rPr>
        <w:lastRenderedPageBreak/>
        <w:t>deverão ser mantidas fechadas e sob a responsabilidade da Associação dos Proprietários ou do loteador, que exercerá, supletivamente, a manutenção e defesa da utilização prevista no projeto, até que a Prefeitura exerça plenamente esta função, instalando os equipamentos institucionais necessários, ocasião em que será aberta para utilização de toda comunidade, sob o ônus da Associação dos Proprietários ou do loteador.</w:t>
      </w: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p>
    <w:p w:rsidR="00E65CB3" w:rsidRPr="0082200A" w:rsidRDefault="00E65CB3" w:rsidP="00D01B3E">
      <w:pPr>
        <w:spacing w:line="240" w:lineRule="auto"/>
        <w:ind w:firstLine="1701"/>
        <w:jc w:val="both"/>
        <w:rPr>
          <w:rFonts w:ascii="Bookman Old Style" w:hAnsi="Bookman Old Style"/>
          <w:i/>
          <w:sz w:val="20"/>
          <w:szCs w:val="20"/>
        </w:rPr>
      </w:pPr>
      <w:r w:rsidRPr="0082200A">
        <w:rPr>
          <w:rFonts w:ascii="Bookman Old Style" w:hAnsi="Bookman Old Style"/>
          <w:b/>
          <w:i/>
          <w:sz w:val="20"/>
          <w:szCs w:val="20"/>
        </w:rPr>
        <w:t xml:space="preserve">Art. 5º </w:t>
      </w:r>
      <w:r w:rsidRPr="0082200A">
        <w:rPr>
          <w:rFonts w:ascii="Bookman Old Style" w:hAnsi="Bookman Old Style"/>
          <w:i/>
          <w:sz w:val="20"/>
          <w:szCs w:val="20"/>
        </w:rPr>
        <w:t>A área do loteamento de que trata a presente Lei, dependerá, para a sua aprovação, de considerações urbanísticas, viárias, ambientais, e do impacto que possa ter sobre a estrutura urbana, considerando a perspectiva de prolongamento de vias públicas.</w:t>
      </w: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r w:rsidRPr="0082200A">
        <w:rPr>
          <w:rFonts w:ascii="Bookman Old Style" w:eastAsia="Calibri" w:hAnsi="Bookman Old Style" w:cs="Times New Roman"/>
          <w:b/>
          <w:i/>
          <w:sz w:val="20"/>
          <w:szCs w:val="20"/>
        </w:rPr>
        <w:t>§ 1º</w:t>
      </w:r>
      <w:r w:rsidRPr="0082200A">
        <w:rPr>
          <w:rFonts w:ascii="Bookman Old Style" w:eastAsia="Calibri" w:hAnsi="Bookman Old Style" w:cs="Times New Roman"/>
          <w:i/>
          <w:sz w:val="20"/>
          <w:szCs w:val="20"/>
        </w:rPr>
        <w:t xml:space="preserve"> No ato da solicitação do pedido de diretrizes deverá ser especificada a intenção de implantação da modalidade do loteamento.</w:t>
      </w: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r w:rsidRPr="0082200A">
        <w:rPr>
          <w:rFonts w:ascii="Bookman Old Style" w:eastAsia="Calibri" w:hAnsi="Bookman Old Style" w:cs="Times New Roman"/>
          <w:b/>
          <w:i/>
          <w:sz w:val="20"/>
          <w:szCs w:val="20"/>
        </w:rPr>
        <w:t xml:space="preserve">§ 2º </w:t>
      </w:r>
      <w:r w:rsidRPr="0082200A">
        <w:rPr>
          <w:rFonts w:ascii="Bookman Old Style" w:eastAsia="Calibri" w:hAnsi="Bookman Old Style" w:cs="Times New Roman"/>
          <w:i/>
          <w:sz w:val="20"/>
          <w:szCs w:val="20"/>
        </w:rPr>
        <w:t>As diretrizes urbanísticas definirão um sistema viário de contorno às áreas fechadas, preservando as perspectivas de prolongamento de vias públicas e de menor impacto visual na vizinhança, através de faixas verdes e/ou jardinadas.</w:t>
      </w:r>
    </w:p>
    <w:p w:rsidR="00546768" w:rsidRPr="0082200A" w:rsidRDefault="00546768" w:rsidP="00D01B3E">
      <w:pPr>
        <w:spacing w:line="240" w:lineRule="auto"/>
        <w:ind w:firstLine="1701"/>
        <w:jc w:val="both"/>
        <w:rPr>
          <w:rFonts w:ascii="Bookman Old Style" w:eastAsia="Calibri" w:hAnsi="Bookman Old Style" w:cs="Times New Roman"/>
          <w:b/>
          <w:i/>
          <w:sz w:val="20"/>
          <w:szCs w:val="20"/>
        </w:rPr>
      </w:pPr>
    </w:p>
    <w:p w:rsidR="00E65CB3" w:rsidRPr="0082200A" w:rsidRDefault="00E65CB3" w:rsidP="00D01B3E">
      <w:pPr>
        <w:spacing w:line="240" w:lineRule="auto"/>
        <w:ind w:firstLine="1701"/>
        <w:jc w:val="both"/>
        <w:rPr>
          <w:rFonts w:ascii="Bookman Old Style" w:hAnsi="Bookman Old Style"/>
          <w:i/>
          <w:sz w:val="20"/>
          <w:szCs w:val="20"/>
        </w:rPr>
      </w:pPr>
      <w:r w:rsidRPr="0082200A">
        <w:rPr>
          <w:rFonts w:ascii="Bookman Old Style" w:hAnsi="Bookman Old Style"/>
          <w:b/>
          <w:i/>
          <w:sz w:val="20"/>
          <w:szCs w:val="20"/>
        </w:rPr>
        <w:t xml:space="preserve">§ 3º </w:t>
      </w:r>
      <w:r w:rsidRPr="0082200A">
        <w:rPr>
          <w:rFonts w:ascii="Bookman Old Style" w:hAnsi="Bookman Old Style"/>
          <w:i/>
          <w:sz w:val="20"/>
          <w:szCs w:val="20"/>
        </w:rPr>
        <w:t xml:space="preserve">Quando as diretrizes viárias definidas pela Prefeitura Municipal de Garça seccionarem a gleba objeto de loteamento de que trata a presente Lei, deverão essas vias </w:t>
      </w:r>
      <w:proofErr w:type="gramStart"/>
      <w:r w:rsidRPr="0082200A">
        <w:rPr>
          <w:rFonts w:ascii="Bookman Old Style" w:hAnsi="Bookman Old Style"/>
          <w:i/>
          <w:sz w:val="20"/>
          <w:szCs w:val="20"/>
        </w:rPr>
        <w:t>estarem</w:t>
      </w:r>
      <w:proofErr w:type="gramEnd"/>
      <w:r w:rsidRPr="0082200A">
        <w:rPr>
          <w:rFonts w:ascii="Bookman Old Style" w:hAnsi="Bookman Old Style"/>
          <w:i/>
          <w:sz w:val="20"/>
          <w:szCs w:val="20"/>
        </w:rPr>
        <w:t xml:space="preserve"> liberadas para o tráfego, sendo que as porções remanescentes poderão ser fechadas.</w:t>
      </w:r>
    </w:p>
    <w:p w:rsidR="00546768" w:rsidRPr="0082200A" w:rsidRDefault="00546768" w:rsidP="00D01B3E">
      <w:pPr>
        <w:spacing w:line="240" w:lineRule="auto"/>
        <w:ind w:firstLine="1701"/>
        <w:jc w:val="both"/>
        <w:rPr>
          <w:rFonts w:ascii="Bookman Old Style" w:eastAsia="Calibri" w:hAnsi="Bookman Old Style" w:cs="Times New Roman"/>
          <w:b/>
          <w:i/>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r w:rsidRPr="0082200A">
        <w:rPr>
          <w:rFonts w:ascii="Bookman Old Style" w:eastAsia="Calibri" w:hAnsi="Bookman Old Style" w:cs="Times New Roman"/>
          <w:b/>
          <w:i/>
          <w:sz w:val="20"/>
          <w:szCs w:val="20"/>
        </w:rPr>
        <w:t xml:space="preserve">§ 4º </w:t>
      </w:r>
      <w:r w:rsidRPr="0082200A">
        <w:rPr>
          <w:rFonts w:ascii="Bookman Old Style" w:eastAsia="Calibri" w:hAnsi="Bookman Old Style" w:cs="Times New Roman"/>
          <w:i/>
          <w:sz w:val="20"/>
          <w:szCs w:val="20"/>
        </w:rPr>
        <w:t>A permissão de uso referida nesta Lei, prevalecerá até que a expansão urbana ou crescimento da cidade atinja o loteamento beneficiado por esta permissão, de modo que não interrompam as vias de circulação antes e depois do loteamento, não podendo servir de entrave ao desenvolvimento urbano futuro do sistema viário.</w:t>
      </w: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r w:rsidRPr="0082200A">
        <w:rPr>
          <w:rFonts w:ascii="Bookman Old Style" w:eastAsia="Calibri" w:hAnsi="Bookman Old Style" w:cs="Times New Roman"/>
          <w:b/>
          <w:i/>
          <w:sz w:val="20"/>
          <w:szCs w:val="20"/>
        </w:rPr>
        <w:t xml:space="preserve">§ 5º </w:t>
      </w:r>
      <w:r w:rsidRPr="0082200A">
        <w:rPr>
          <w:rFonts w:ascii="Bookman Old Style" w:eastAsia="Calibri" w:hAnsi="Bookman Old Style" w:cs="Times New Roman"/>
          <w:i/>
          <w:sz w:val="20"/>
          <w:szCs w:val="20"/>
        </w:rPr>
        <w:t>Em caso de parecer contrário ao pedido, a Secretaria Municipal de Planejamento e Desenvolvimento Urbano deverá apresentar razões técnicas devidamente fundamentadas.</w:t>
      </w: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p>
    <w:p w:rsidR="00546768" w:rsidRPr="0082200A" w:rsidRDefault="00546768" w:rsidP="00D01B3E">
      <w:pPr>
        <w:spacing w:line="240" w:lineRule="auto"/>
        <w:ind w:firstLine="1701"/>
        <w:jc w:val="both"/>
        <w:rPr>
          <w:rFonts w:ascii="Bookman Old Style" w:hAnsi="Bookman Old Style"/>
          <w:i/>
          <w:sz w:val="20"/>
          <w:szCs w:val="20"/>
        </w:rPr>
      </w:pPr>
      <w:r w:rsidRPr="0082200A">
        <w:rPr>
          <w:rFonts w:ascii="Bookman Old Style" w:hAnsi="Bookman Old Style"/>
          <w:b/>
          <w:i/>
          <w:sz w:val="20"/>
          <w:szCs w:val="20"/>
        </w:rPr>
        <w:t xml:space="preserve">§ 6º </w:t>
      </w:r>
      <w:r w:rsidRPr="0082200A">
        <w:rPr>
          <w:rFonts w:ascii="Bookman Old Style" w:hAnsi="Bookman Old Style"/>
          <w:i/>
          <w:sz w:val="20"/>
          <w:szCs w:val="20"/>
        </w:rPr>
        <w:t xml:space="preserve">Caberá ao loteador, executar dentro da infra-estrutura proposta para o loteamento, </w:t>
      </w:r>
      <w:proofErr w:type="gramStart"/>
      <w:r w:rsidRPr="0082200A">
        <w:rPr>
          <w:rFonts w:ascii="Bookman Old Style" w:hAnsi="Bookman Old Style"/>
          <w:i/>
          <w:sz w:val="20"/>
          <w:szCs w:val="20"/>
        </w:rPr>
        <w:t>as</w:t>
      </w:r>
      <w:proofErr w:type="gramEnd"/>
      <w:r w:rsidRPr="0082200A">
        <w:rPr>
          <w:rFonts w:ascii="Bookman Old Style" w:hAnsi="Bookman Old Style"/>
          <w:i/>
          <w:sz w:val="20"/>
          <w:szCs w:val="20"/>
        </w:rPr>
        <w:t xml:space="preserve"> adaptações de acessibilidade nos espaços públicos e nas edificações de uso coletivo.”</w:t>
      </w: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p>
    <w:p w:rsidR="00E65CB3" w:rsidRPr="0082200A" w:rsidRDefault="00E65CB3" w:rsidP="00D01B3E">
      <w:pPr>
        <w:spacing w:line="240" w:lineRule="auto"/>
        <w:ind w:firstLine="1701"/>
        <w:jc w:val="both"/>
        <w:rPr>
          <w:rFonts w:ascii="Bookman Old Style" w:hAnsi="Bookman Old Style"/>
          <w:i/>
          <w:sz w:val="20"/>
          <w:szCs w:val="20"/>
        </w:rPr>
      </w:pPr>
      <w:proofErr w:type="gramStart"/>
      <w:r w:rsidRPr="0082200A">
        <w:rPr>
          <w:rFonts w:ascii="Bookman Old Style" w:hAnsi="Bookman Old Style"/>
          <w:b/>
          <w:i/>
          <w:sz w:val="20"/>
          <w:szCs w:val="20"/>
        </w:rPr>
        <w:t xml:space="preserve">Art. 6º </w:t>
      </w:r>
      <w:r w:rsidRPr="0082200A">
        <w:rPr>
          <w:rFonts w:ascii="Bookman Old Style" w:hAnsi="Bookman Old Style"/>
          <w:i/>
          <w:sz w:val="20"/>
          <w:szCs w:val="20"/>
        </w:rPr>
        <w:t>As áreas públicas de lazer, as áreas verdes e as vias de circulação interna, definidas por ocasião da aprovação do loteamento, serão objeto de concessão de uso por tempo indeterminado, podendo ser revogada a qualquer momento pela Prefeitura Municipal de Garça, desde que haja necessidade e interesse público devidamente fundamentado, sem implicar em ressarcimento.”</w:t>
      </w:r>
      <w:proofErr w:type="gramEnd"/>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r w:rsidRPr="0082200A">
        <w:rPr>
          <w:rFonts w:ascii="Bookman Old Style" w:eastAsia="Calibri" w:hAnsi="Bookman Old Style" w:cs="Times New Roman"/>
          <w:b/>
          <w:i/>
          <w:sz w:val="20"/>
          <w:szCs w:val="20"/>
        </w:rPr>
        <w:t>Parágrafo único.</w:t>
      </w:r>
      <w:r w:rsidRPr="0082200A">
        <w:rPr>
          <w:rFonts w:ascii="Bookman Old Style" w:eastAsia="Calibri" w:hAnsi="Bookman Old Style" w:cs="Times New Roman"/>
          <w:i/>
          <w:sz w:val="20"/>
          <w:szCs w:val="20"/>
        </w:rPr>
        <w:t xml:space="preserve"> A permissão de uso referida no artigo 2º desta Lei será outorgada à Associação dos Proprietários independente de licitação e, enquanto esta não estiver constituída ao loteador.</w:t>
      </w: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r w:rsidRPr="0082200A">
        <w:rPr>
          <w:rFonts w:ascii="Bookman Old Style" w:eastAsia="Calibri" w:hAnsi="Bookman Old Style" w:cs="Times New Roman"/>
          <w:b/>
          <w:i/>
          <w:sz w:val="20"/>
          <w:szCs w:val="20"/>
        </w:rPr>
        <w:t>Art. 7º</w:t>
      </w:r>
      <w:r w:rsidRPr="0082200A">
        <w:rPr>
          <w:rFonts w:ascii="Bookman Old Style" w:eastAsia="Calibri" w:hAnsi="Bookman Old Style" w:cs="Times New Roman"/>
          <w:i/>
          <w:sz w:val="20"/>
          <w:szCs w:val="20"/>
        </w:rPr>
        <w:t xml:space="preserve"> Fica a Prefeitura Municipal de Garça autorizada a outorgar a permissão de uso de que trata o artigo 2º, nos seguintes termos:</w:t>
      </w: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r w:rsidRPr="0082200A">
        <w:rPr>
          <w:rFonts w:ascii="Bookman Old Style" w:eastAsia="Calibri" w:hAnsi="Bookman Old Style" w:cs="Times New Roman"/>
          <w:b/>
          <w:i/>
          <w:sz w:val="20"/>
          <w:szCs w:val="20"/>
        </w:rPr>
        <w:t xml:space="preserve">§ 1º </w:t>
      </w:r>
      <w:r w:rsidRPr="0082200A">
        <w:rPr>
          <w:rFonts w:ascii="Bookman Old Style" w:eastAsia="Calibri" w:hAnsi="Bookman Old Style" w:cs="Times New Roman"/>
          <w:i/>
          <w:sz w:val="20"/>
          <w:szCs w:val="20"/>
        </w:rPr>
        <w:t>A permissão de uso e a aprovação do loteamento serão formalizados por Decreto do Poder Executivo.</w:t>
      </w: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r w:rsidRPr="0082200A">
        <w:rPr>
          <w:rFonts w:ascii="Bookman Old Style" w:eastAsia="Calibri" w:hAnsi="Bookman Old Style" w:cs="Times New Roman"/>
          <w:b/>
          <w:i/>
          <w:sz w:val="20"/>
          <w:szCs w:val="20"/>
        </w:rPr>
        <w:t xml:space="preserve">§ 2º </w:t>
      </w:r>
      <w:r w:rsidRPr="0082200A">
        <w:rPr>
          <w:rFonts w:ascii="Bookman Old Style" w:eastAsia="Calibri" w:hAnsi="Bookman Old Style" w:cs="Times New Roman"/>
          <w:i/>
          <w:sz w:val="20"/>
          <w:szCs w:val="20"/>
        </w:rPr>
        <w:t>A outorga da permissão de uso deverá constar do registro de loteamento no Cartório de Registro de Imóvel Local, sendo as despesas por conta da Associação e/ou Loteador.</w:t>
      </w: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r w:rsidRPr="0082200A">
        <w:rPr>
          <w:rFonts w:ascii="Bookman Old Style" w:eastAsia="Calibri" w:hAnsi="Bookman Old Style" w:cs="Times New Roman"/>
          <w:b/>
          <w:i/>
          <w:sz w:val="20"/>
          <w:szCs w:val="20"/>
        </w:rPr>
        <w:t xml:space="preserve">§ 3º </w:t>
      </w:r>
      <w:r w:rsidRPr="0082200A">
        <w:rPr>
          <w:rFonts w:ascii="Bookman Old Style" w:eastAsia="Calibri" w:hAnsi="Bookman Old Style" w:cs="Times New Roman"/>
          <w:i/>
          <w:sz w:val="20"/>
          <w:szCs w:val="20"/>
        </w:rPr>
        <w:t>No Decreto de outorga da permissão de uso deverão constar os encargos relativos à manutenção e à conservação dos bens públicos em causa.</w:t>
      </w: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r w:rsidRPr="0082200A">
        <w:rPr>
          <w:rFonts w:ascii="Bookman Old Style" w:eastAsia="Calibri" w:hAnsi="Bookman Old Style" w:cs="Times New Roman"/>
          <w:b/>
          <w:i/>
          <w:sz w:val="20"/>
          <w:szCs w:val="20"/>
        </w:rPr>
        <w:t xml:space="preserve">§ 4º </w:t>
      </w:r>
      <w:r w:rsidRPr="0082200A">
        <w:rPr>
          <w:rFonts w:ascii="Bookman Old Style" w:eastAsia="Calibri" w:hAnsi="Bookman Old Style" w:cs="Times New Roman"/>
          <w:i/>
          <w:sz w:val="20"/>
          <w:szCs w:val="20"/>
        </w:rPr>
        <w:t>Igualmente, deverá constar do mesmo Decreto, que qualquer outra utilização das áreas públicas será objeto de autorização específica da Administração Direta e Indireta da Prefeitura Municipal de Garça.</w:t>
      </w: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r w:rsidRPr="0082200A">
        <w:rPr>
          <w:rFonts w:ascii="Bookman Old Style" w:eastAsia="Calibri" w:hAnsi="Bookman Old Style" w:cs="Times New Roman"/>
          <w:b/>
          <w:i/>
          <w:sz w:val="20"/>
          <w:szCs w:val="20"/>
        </w:rPr>
        <w:t>Art. 8º</w:t>
      </w:r>
      <w:r w:rsidRPr="0082200A">
        <w:rPr>
          <w:rFonts w:ascii="Bookman Old Style" w:eastAsia="Calibri" w:hAnsi="Bookman Old Style" w:cs="Times New Roman"/>
          <w:i/>
          <w:sz w:val="20"/>
          <w:szCs w:val="20"/>
        </w:rPr>
        <w:t xml:space="preserve"> Será de inteira responsabilidade da Associação dos Proprietários ou do loteador, enquanto vigorar a permissão de uso em seu nome, desempenhar na parte fechada do loteamento:</w:t>
      </w:r>
    </w:p>
    <w:p w:rsidR="00546768" w:rsidRPr="0082200A" w:rsidRDefault="00546768" w:rsidP="00D01B3E">
      <w:pPr>
        <w:spacing w:line="240" w:lineRule="auto"/>
        <w:ind w:firstLine="2835"/>
        <w:jc w:val="both"/>
        <w:rPr>
          <w:rFonts w:ascii="Bookman Old Style" w:eastAsia="Calibri" w:hAnsi="Bookman Old Style" w:cs="Times New Roman"/>
          <w:i/>
          <w:sz w:val="20"/>
          <w:szCs w:val="20"/>
        </w:rPr>
      </w:pPr>
    </w:p>
    <w:p w:rsidR="00546768" w:rsidRPr="0082200A" w:rsidRDefault="00546768" w:rsidP="00D01B3E">
      <w:pPr>
        <w:spacing w:line="240" w:lineRule="auto"/>
        <w:jc w:val="both"/>
        <w:rPr>
          <w:rFonts w:ascii="Bookman Old Style" w:eastAsia="Calibri" w:hAnsi="Bookman Old Style" w:cs="Times New Roman"/>
          <w:i/>
          <w:sz w:val="20"/>
          <w:szCs w:val="20"/>
        </w:rPr>
      </w:pPr>
      <w:r w:rsidRPr="0082200A">
        <w:rPr>
          <w:rFonts w:ascii="Bookman Old Style" w:eastAsia="Calibri" w:hAnsi="Bookman Old Style" w:cs="Times New Roman"/>
          <w:i/>
          <w:sz w:val="20"/>
          <w:szCs w:val="20"/>
        </w:rPr>
        <w:t xml:space="preserve">I. </w:t>
      </w:r>
      <w:r w:rsidRPr="0082200A">
        <w:rPr>
          <w:rFonts w:ascii="Bookman Old Style" w:eastAsia="Calibri" w:hAnsi="Bookman Old Style" w:cs="Times New Roman"/>
          <w:i/>
          <w:sz w:val="20"/>
          <w:szCs w:val="20"/>
        </w:rPr>
        <w:tab/>
        <w:t>Os serviços de urbanização de vias e praças, inclusive arborização, manutenção e poda de árvores;</w:t>
      </w:r>
    </w:p>
    <w:p w:rsidR="00546768" w:rsidRPr="0082200A" w:rsidRDefault="00546768" w:rsidP="00D01B3E">
      <w:pPr>
        <w:spacing w:line="240" w:lineRule="auto"/>
        <w:jc w:val="both"/>
        <w:rPr>
          <w:rFonts w:ascii="Bookman Old Style" w:eastAsia="Calibri" w:hAnsi="Bookman Old Style" w:cs="Times New Roman"/>
          <w:i/>
          <w:sz w:val="20"/>
          <w:szCs w:val="20"/>
        </w:rPr>
      </w:pPr>
      <w:r w:rsidRPr="0082200A">
        <w:rPr>
          <w:rFonts w:ascii="Bookman Old Style" w:eastAsia="Calibri" w:hAnsi="Bookman Old Style" w:cs="Times New Roman"/>
          <w:i/>
          <w:sz w:val="20"/>
          <w:szCs w:val="20"/>
        </w:rPr>
        <w:t xml:space="preserve">II. </w:t>
      </w:r>
      <w:r w:rsidRPr="0082200A">
        <w:rPr>
          <w:rFonts w:ascii="Bookman Old Style" w:eastAsia="Calibri" w:hAnsi="Bookman Old Style" w:cs="Times New Roman"/>
          <w:i/>
          <w:sz w:val="20"/>
          <w:szCs w:val="20"/>
        </w:rPr>
        <w:tab/>
        <w:t>O fechamento do loteamento por muro de alvenaria ou outro sistema aprovado pela Prefeitura Municipal;</w:t>
      </w:r>
    </w:p>
    <w:p w:rsidR="00546768" w:rsidRPr="0082200A" w:rsidRDefault="00546768" w:rsidP="00D01B3E">
      <w:pPr>
        <w:spacing w:line="240" w:lineRule="auto"/>
        <w:jc w:val="both"/>
        <w:rPr>
          <w:rFonts w:ascii="Bookman Old Style" w:eastAsia="Calibri" w:hAnsi="Bookman Old Style" w:cs="Times New Roman"/>
          <w:i/>
          <w:sz w:val="20"/>
          <w:szCs w:val="20"/>
        </w:rPr>
      </w:pPr>
      <w:r w:rsidRPr="0082200A">
        <w:rPr>
          <w:rFonts w:ascii="Bookman Old Style" w:eastAsia="Calibri" w:hAnsi="Bookman Old Style" w:cs="Times New Roman"/>
          <w:i/>
          <w:sz w:val="20"/>
          <w:szCs w:val="20"/>
        </w:rPr>
        <w:t xml:space="preserve">III. </w:t>
      </w:r>
      <w:r w:rsidRPr="0082200A">
        <w:rPr>
          <w:rFonts w:ascii="Bookman Old Style" w:eastAsia="Calibri" w:hAnsi="Bookman Old Style" w:cs="Times New Roman"/>
          <w:i/>
          <w:sz w:val="20"/>
          <w:szCs w:val="20"/>
        </w:rPr>
        <w:tab/>
        <w:t>A manutenção de serviços de portaria nos acessos principais do loteamento;</w:t>
      </w:r>
    </w:p>
    <w:p w:rsidR="00546768" w:rsidRPr="0082200A" w:rsidRDefault="00546768" w:rsidP="00D01B3E">
      <w:pPr>
        <w:spacing w:line="240" w:lineRule="auto"/>
        <w:jc w:val="both"/>
        <w:rPr>
          <w:rFonts w:ascii="Bookman Old Style" w:eastAsia="Calibri" w:hAnsi="Bookman Old Style" w:cs="Times New Roman"/>
          <w:i/>
          <w:sz w:val="20"/>
          <w:szCs w:val="20"/>
        </w:rPr>
      </w:pPr>
      <w:r w:rsidRPr="0082200A">
        <w:rPr>
          <w:rFonts w:ascii="Bookman Old Style" w:eastAsia="Calibri" w:hAnsi="Bookman Old Style" w:cs="Times New Roman"/>
          <w:i/>
          <w:sz w:val="20"/>
          <w:szCs w:val="20"/>
        </w:rPr>
        <w:t xml:space="preserve">IV. </w:t>
      </w:r>
      <w:r w:rsidRPr="0082200A">
        <w:rPr>
          <w:rFonts w:ascii="Bookman Old Style" w:eastAsia="Calibri" w:hAnsi="Bookman Old Style" w:cs="Times New Roman"/>
          <w:i/>
          <w:sz w:val="20"/>
          <w:szCs w:val="20"/>
        </w:rPr>
        <w:tab/>
        <w:t>A manutenção e conservação de vias públicas de circulação, do calçamento e da sinalização de trânsito;</w:t>
      </w:r>
    </w:p>
    <w:p w:rsidR="00546768" w:rsidRPr="0082200A" w:rsidRDefault="00546768" w:rsidP="00D01B3E">
      <w:pPr>
        <w:spacing w:line="240" w:lineRule="auto"/>
        <w:jc w:val="both"/>
        <w:rPr>
          <w:rFonts w:ascii="Bookman Old Style" w:eastAsia="Calibri" w:hAnsi="Bookman Old Style" w:cs="Times New Roman"/>
          <w:i/>
          <w:sz w:val="20"/>
          <w:szCs w:val="20"/>
        </w:rPr>
      </w:pPr>
      <w:r w:rsidRPr="0082200A">
        <w:rPr>
          <w:rFonts w:ascii="Bookman Old Style" w:eastAsia="Calibri" w:hAnsi="Bookman Old Style" w:cs="Times New Roman"/>
          <w:i/>
          <w:sz w:val="20"/>
          <w:szCs w:val="20"/>
        </w:rPr>
        <w:t xml:space="preserve">V. </w:t>
      </w:r>
      <w:r w:rsidRPr="0082200A">
        <w:rPr>
          <w:rFonts w:ascii="Bookman Old Style" w:eastAsia="Calibri" w:hAnsi="Bookman Old Style" w:cs="Times New Roman"/>
          <w:i/>
          <w:sz w:val="20"/>
          <w:szCs w:val="20"/>
        </w:rPr>
        <w:tab/>
        <w:t xml:space="preserve">A coleta e remoção do lixo domiciliar, que deverá ser </w:t>
      </w:r>
      <w:proofErr w:type="gramStart"/>
      <w:r w:rsidRPr="0082200A">
        <w:rPr>
          <w:rFonts w:ascii="Bookman Old Style" w:eastAsia="Calibri" w:hAnsi="Bookman Old Style" w:cs="Times New Roman"/>
          <w:i/>
          <w:sz w:val="20"/>
          <w:szCs w:val="20"/>
        </w:rPr>
        <w:t>depositado em abrigo fechado, dentro do limite do loteamento, próximo a portaria</w:t>
      </w:r>
      <w:proofErr w:type="gramEnd"/>
      <w:r w:rsidRPr="0082200A">
        <w:rPr>
          <w:rFonts w:ascii="Bookman Old Style" w:eastAsia="Calibri" w:hAnsi="Bookman Old Style" w:cs="Times New Roman"/>
          <w:i/>
          <w:sz w:val="20"/>
          <w:szCs w:val="20"/>
        </w:rPr>
        <w:t>, onde houver serviço de recolhimento de lixo;</w:t>
      </w:r>
    </w:p>
    <w:p w:rsidR="00546768" w:rsidRPr="0082200A" w:rsidRDefault="00546768" w:rsidP="00D01B3E">
      <w:pPr>
        <w:spacing w:line="240" w:lineRule="auto"/>
        <w:jc w:val="both"/>
        <w:rPr>
          <w:rFonts w:ascii="Bookman Old Style" w:eastAsia="Calibri" w:hAnsi="Bookman Old Style" w:cs="Times New Roman"/>
          <w:i/>
          <w:sz w:val="20"/>
          <w:szCs w:val="20"/>
        </w:rPr>
      </w:pPr>
      <w:r w:rsidRPr="0082200A">
        <w:rPr>
          <w:rFonts w:ascii="Bookman Old Style" w:eastAsia="Calibri" w:hAnsi="Bookman Old Style" w:cs="Times New Roman"/>
          <w:i/>
          <w:sz w:val="20"/>
          <w:szCs w:val="20"/>
        </w:rPr>
        <w:t xml:space="preserve">VI. </w:t>
      </w:r>
      <w:r w:rsidRPr="0082200A">
        <w:rPr>
          <w:rFonts w:ascii="Bookman Old Style" w:eastAsia="Calibri" w:hAnsi="Bookman Old Style" w:cs="Times New Roman"/>
          <w:i/>
          <w:sz w:val="20"/>
          <w:szCs w:val="20"/>
        </w:rPr>
        <w:tab/>
        <w:t>A limpeza das vias de circulação;</w:t>
      </w:r>
    </w:p>
    <w:p w:rsidR="00546768" w:rsidRPr="0082200A" w:rsidRDefault="00546768" w:rsidP="00D01B3E">
      <w:pPr>
        <w:spacing w:line="240" w:lineRule="auto"/>
        <w:jc w:val="both"/>
        <w:rPr>
          <w:rFonts w:ascii="Bookman Old Style" w:eastAsia="Calibri" w:hAnsi="Bookman Old Style" w:cs="Times New Roman"/>
          <w:i/>
          <w:sz w:val="20"/>
          <w:szCs w:val="20"/>
        </w:rPr>
      </w:pPr>
      <w:r w:rsidRPr="0082200A">
        <w:rPr>
          <w:rFonts w:ascii="Bookman Old Style" w:eastAsia="Calibri" w:hAnsi="Bookman Old Style" w:cs="Times New Roman"/>
          <w:i/>
          <w:sz w:val="20"/>
          <w:szCs w:val="20"/>
        </w:rPr>
        <w:t xml:space="preserve">VII. </w:t>
      </w:r>
      <w:r w:rsidRPr="0082200A">
        <w:rPr>
          <w:rFonts w:ascii="Bookman Old Style" w:eastAsia="Calibri" w:hAnsi="Bookman Old Style" w:cs="Times New Roman"/>
          <w:i/>
          <w:sz w:val="20"/>
          <w:szCs w:val="20"/>
        </w:rPr>
        <w:tab/>
        <w:t>A prevenção de sinistros;</w:t>
      </w:r>
    </w:p>
    <w:p w:rsidR="00546768" w:rsidRPr="0082200A" w:rsidRDefault="00546768" w:rsidP="00D01B3E">
      <w:pPr>
        <w:spacing w:line="240" w:lineRule="auto"/>
        <w:jc w:val="both"/>
        <w:rPr>
          <w:rFonts w:ascii="Bookman Old Style" w:eastAsia="Calibri" w:hAnsi="Bookman Old Style" w:cs="Times New Roman"/>
          <w:i/>
          <w:sz w:val="20"/>
          <w:szCs w:val="20"/>
        </w:rPr>
      </w:pPr>
      <w:r w:rsidRPr="0082200A">
        <w:rPr>
          <w:rFonts w:ascii="Bookman Old Style" w:eastAsia="Calibri" w:hAnsi="Bookman Old Style" w:cs="Times New Roman"/>
          <w:i/>
          <w:sz w:val="20"/>
          <w:szCs w:val="20"/>
        </w:rPr>
        <w:t xml:space="preserve">VIII. </w:t>
      </w:r>
      <w:r w:rsidRPr="0082200A">
        <w:rPr>
          <w:rFonts w:ascii="Bookman Old Style" w:eastAsia="Calibri" w:hAnsi="Bookman Old Style" w:cs="Times New Roman"/>
          <w:i/>
          <w:sz w:val="20"/>
          <w:szCs w:val="20"/>
        </w:rPr>
        <w:tab/>
        <w:t>Outros serviços que se fizerem necessários, a juízo da Prefeitura Municipal;</w:t>
      </w:r>
    </w:p>
    <w:p w:rsidR="00546768" w:rsidRPr="0082200A" w:rsidRDefault="00546768" w:rsidP="00D01B3E">
      <w:pPr>
        <w:spacing w:line="240" w:lineRule="auto"/>
        <w:jc w:val="both"/>
        <w:rPr>
          <w:rFonts w:ascii="Bookman Old Style" w:eastAsia="Calibri" w:hAnsi="Bookman Old Style" w:cs="Times New Roman"/>
          <w:i/>
          <w:sz w:val="20"/>
          <w:szCs w:val="20"/>
        </w:rPr>
      </w:pPr>
      <w:r w:rsidRPr="0082200A">
        <w:rPr>
          <w:rFonts w:ascii="Bookman Old Style" w:eastAsia="Calibri" w:hAnsi="Bookman Old Style" w:cs="Times New Roman"/>
          <w:i/>
          <w:sz w:val="20"/>
          <w:szCs w:val="20"/>
        </w:rPr>
        <w:t xml:space="preserve">IX. </w:t>
      </w:r>
      <w:r w:rsidRPr="0082200A">
        <w:rPr>
          <w:rFonts w:ascii="Bookman Old Style" w:eastAsia="Calibri" w:hAnsi="Bookman Old Style" w:cs="Times New Roman"/>
          <w:i/>
          <w:sz w:val="20"/>
          <w:szCs w:val="20"/>
        </w:rPr>
        <w:tab/>
        <w:t>Garantia da ação livre e desimpedida das autoridades e entidades públicas que zelem pela segurança, vigilância sanitária e bem estar da população, desde que se identifique na portaria;</w:t>
      </w:r>
    </w:p>
    <w:p w:rsidR="00546768" w:rsidRPr="0082200A" w:rsidRDefault="00546768" w:rsidP="00D01B3E">
      <w:pPr>
        <w:spacing w:line="240" w:lineRule="auto"/>
        <w:jc w:val="both"/>
        <w:rPr>
          <w:rFonts w:ascii="Bookman Old Style" w:eastAsia="Calibri" w:hAnsi="Bookman Old Style" w:cs="Times New Roman"/>
          <w:i/>
          <w:sz w:val="20"/>
          <w:szCs w:val="20"/>
        </w:rPr>
      </w:pPr>
      <w:r w:rsidRPr="0082200A">
        <w:rPr>
          <w:rFonts w:ascii="Bookman Old Style" w:eastAsia="Calibri" w:hAnsi="Bookman Old Style" w:cs="Times New Roman"/>
          <w:i/>
          <w:sz w:val="20"/>
          <w:szCs w:val="20"/>
        </w:rPr>
        <w:t>X.</w:t>
      </w:r>
      <w:r w:rsidRPr="0082200A">
        <w:rPr>
          <w:rFonts w:ascii="Bookman Old Style" w:eastAsia="Calibri" w:hAnsi="Bookman Old Style" w:cs="Times New Roman"/>
          <w:i/>
          <w:sz w:val="20"/>
          <w:szCs w:val="20"/>
        </w:rPr>
        <w:tab/>
        <w:t>Manutenção e conservação da iluminação pública.</w:t>
      </w:r>
    </w:p>
    <w:p w:rsidR="00546768" w:rsidRPr="0082200A" w:rsidRDefault="00546768" w:rsidP="00D01B3E">
      <w:pPr>
        <w:spacing w:line="240" w:lineRule="auto"/>
        <w:jc w:val="both"/>
        <w:rPr>
          <w:rFonts w:ascii="Bookman Old Style" w:eastAsia="Calibri" w:hAnsi="Bookman Old Style" w:cs="Times New Roman"/>
          <w:i/>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r w:rsidRPr="0082200A">
        <w:rPr>
          <w:rFonts w:ascii="Bookman Old Style" w:eastAsia="Calibri" w:hAnsi="Bookman Old Style" w:cs="Times New Roman"/>
          <w:b/>
          <w:i/>
          <w:sz w:val="20"/>
          <w:szCs w:val="20"/>
        </w:rPr>
        <w:t xml:space="preserve">Parágrafo único. </w:t>
      </w:r>
      <w:r w:rsidRPr="0082200A">
        <w:rPr>
          <w:rFonts w:ascii="Bookman Old Style" w:eastAsia="Calibri" w:hAnsi="Bookman Old Style" w:cs="Times New Roman"/>
          <w:i/>
          <w:sz w:val="20"/>
          <w:szCs w:val="20"/>
        </w:rPr>
        <w:t>Sem se eximir de sua responsabilidade, a Associação dos Proprietários e/ou Loteador poderá firmar convênios ou contratos com órgãos públicos ou entidades privadas para cumprimento das obrigações deste artigo.</w:t>
      </w: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r w:rsidRPr="0082200A">
        <w:rPr>
          <w:rFonts w:ascii="Bookman Old Style" w:eastAsia="Calibri" w:hAnsi="Bookman Old Style" w:cs="Times New Roman"/>
          <w:b/>
          <w:i/>
          <w:sz w:val="20"/>
          <w:szCs w:val="20"/>
        </w:rPr>
        <w:t>Art. 9º</w:t>
      </w:r>
      <w:r w:rsidRPr="0082200A">
        <w:rPr>
          <w:rFonts w:ascii="Bookman Old Style" w:eastAsia="Calibri" w:hAnsi="Bookman Old Style" w:cs="Times New Roman"/>
          <w:i/>
          <w:sz w:val="20"/>
          <w:szCs w:val="20"/>
        </w:rPr>
        <w:t xml:space="preserve"> Enquanto vigorar a permissão de uso concedida nos termos do artigo 7º desta Lei, os proprietários de imóveis situados na parte fechada do Loteamento, ficarão isentos de pagamento das seguintes taxas dos serviços públicos:</w:t>
      </w:r>
    </w:p>
    <w:p w:rsidR="00546768" w:rsidRPr="0082200A" w:rsidRDefault="00546768" w:rsidP="00D01B3E">
      <w:pPr>
        <w:spacing w:line="240" w:lineRule="auto"/>
        <w:ind w:firstLine="2835"/>
        <w:jc w:val="both"/>
        <w:rPr>
          <w:rFonts w:ascii="Bookman Old Style" w:eastAsia="Calibri" w:hAnsi="Bookman Old Style" w:cs="Times New Roman"/>
          <w:i/>
          <w:sz w:val="20"/>
          <w:szCs w:val="20"/>
        </w:rPr>
      </w:pPr>
    </w:p>
    <w:p w:rsidR="00546768" w:rsidRPr="0082200A" w:rsidRDefault="00546768" w:rsidP="00D01B3E">
      <w:pPr>
        <w:numPr>
          <w:ilvl w:val="0"/>
          <w:numId w:val="2"/>
        </w:numPr>
        <w:tabs>
          <w:tab w:val="clear" w:pos="1080"/>
          <w:tab w:val="num" w:pos="709"/>
        </w:tabs>
        <w:spacing w:line="240" w:lineRule="auto"/>
        <w:ind w:hanging="1080"/>
        <w:jc w:val="both"/>
        <w:rPr>
          <w:rFonts w:ascii="Bookman Old Style" w:eastAsia="Calibri" w:hAnsi="Bookman Old Style" w:cs="Times New Roman"/>
          <w:i/>
          <w:sz w:val="20"/>
          <w:szCs w:val="20"/>
        </w:rPr>
      </w:pPr>
      <w:r w:rsidRPr="0082200A">
        <w:rPr>
          <w:rFonts w:ascii="Bookman Old Style" w:eastAsia="Calibri" w:hAnsi="Bookman Old Style" w:cs="Times New Roman"/>
          <w:i/>
          <w:sz w:val="20"/>
          <w:szCs w:val="20"/>
        </w:rPr>
        <w:t>Taxa de Conservação de Vias e Logradouros Públicos;</w:t>
      </w:r>
    </w:p>
    <w:p w:rsidR="00546768" w:rsidRPr="0082200A" w:rsidRDefault="00546768" w:rsidP="00D01B3E">
      <w:pPr>
        <w:spacing w:line="240" w:lineRule="auto"/>
        <w:ind w:firstLine="2835"/>
        <w:jc w:val="both"/>
        <w:rPr>
          <w:rFonts w:ascii="Bookman Old Style" w:eastAsia="Calibri" w:hAnsi="Bookman Old Style" w:cs="Times New Roman"/>
          <w:i/>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color w:val="000000"/>
          <w:sz w:val="20"/>
          <w:szCs w:val="20"/>
        </w:rPr>
      </w:pPr>
      <w:r w:rsidRPr="0082200A">
        <w:rPr>
          <w:rFonts w:ascii="Bookman Old Style" w:eastAsia="Calibri" w:hAnsi="Bookman Old Style" w:cs="Times New Roman"/>
          <w:b/>
          <w:i/>
          <w:color w:val="000000"/>
          <w:sz w:val="20"/>
          <w:szCs w:val="20"/>
        </w:rPr>
        <w:t xml:space="preserve">Art. 10 </w:t>
      </w:r>
      <w:r w:rsidRPr="0082200A">
        <w:rPr>
          <w:rFonts w:ascii="Bookman Old Style" w:eastAsia="Calibri" w:hAnsi="Bookman Old Style" w:cs="Times New Roman"/>
          <w:i/>
          <w:color w:val="000000"/>
          <w:sz w:val="20"/>
          <w:szCs w:val="20"/>
        </w:rPr>
        <w:t>Quando a Associação dos Proprietários ou o Loteador se omitirem na prestação dos serviços relativo à Taxa prevista no artigo anterior e, houver o desvirtuamento da utilização das áreas públicas, a Prefeitura Municipal de Garça assumi-los-á, determinando o seguinte:</w:t>
      </w:r>
    </w:p>
    <w:p w:rsidR="00546768" w:rsidRPr="0082200A" w:rsidRDefault="00546768" w:rsidP="00D01B3E">
      <w:pPr>
        <w:spacing w:line="240" w:lineRule="auto"/>
        <w:ind w:firstLine="2835"/>
        <w:jc w:val="both"/>
        <w:rPr>
          <w:rFonts w:ascii="Bookman Old Style" w:eastAsia="Calibri" w:hAnsi="Bookman Old Style" w:cs="Times New Roman"/>
          <w:i/>
          <w:color w:val="000000"/>
          <w:sz w:val="20"/>
          <w:szCs w:val="20"/>
        </w:rPr>
      </w:pPr>
    </w:p>
    <w:p w:rsidR="00546768" w:rsidRPr="0082200A" w:rsidRDefault="00546768" w:rsidP="00D01B3E">
      <w:pPr>
        <w:spacing w:line="240" w:lineRule="auto"/>
        <w:jc w:val="both"/>
        <w:rPr>
          <w:rFonts w:ascii="Bookman Old Style" w:eastAsia="Calibri" w:hAnsi="Bookman Old Style" w:cs="Times New Roman"/>
          <w:i/>
          <w:color w:val="000000"/>
          <w:sz w:val="20"/>
          <w:szCs w:val="20"/>
        </w:rPr>
      </w:pPr>
      <w:r w:rsidRPr="0082200A">
        <w:rPr>
          <w:rFonts w:ascii="Bookman Old Style" w:eastAsia="Calibri" w:hAnsi="Bookman Old Style" w:cs="Times New Roman"/>
          <w:i/>
          <w:color w:val="000000"/>
          <w:sz w:val="20"/>
          <w:szCs w:val="20"/>
        </w:rPr>
        <w:t>I.</w:t>
      </w:r>
      <w:r w:rsidRPr="0082200A">
        <w:rPr>
          <w:rFonts w:ascii="Bookman Old Style" w:eastAsia="Calibri" w:hAnsi="Bookman Old Style" w:cs="Times New Roman"/>
          <w:i/>
          <w:color w:val="000000"/>
          <w:sz w:val="20"/>
          <w:szCs w:val="20"/>
        </w:rPr>
        <w:tab/>
        <w:t xml:space="preserve">Perda da isenção da </w:t>
      </w:r>
      <w:r w:rsidRPr="0082200A">
        <w:rPr>
          <w:rFonts w:ascii="Bookman Old Style" w:eastAsia="Calibri" w:hAnsi="Bookman Old Style" w:cs="Times New Roman"/>
          <w:i/>
          <w:sz w:val="20"/>
          <w:szCs w:val="20"/>
        </w:rPr>
        <w:t>Taxa de Conservação de Vias e Logradouros Públicos;</w:t>
      </w:r>
    </w:p>
    <w:p w:rsidR="00546768" w:rsidRPr="0082200A" w:rsidRDefault="00546768" w:rsidP="00D01B3E">
      <w:pPr>
        <w:spacing w:line="240" w:lineRule="auto"/>
        <w:jc w:val="both"/>
        <w:rPr>
          <w:rFonts w:ascii="Bookman Old Style" w:eastAsia="Calibri" w:hAnsi="Bookman Old Style" w:cs="Times New Roman"/>
          <w:i/>
          <w:color w:val="000000"/>
          <w:sz w:val="20"/>
          <w:szCs w:val="20"/>
        </w:rPr>
      </w:pPr>
      <w:r w:rsidRPr="0082200A">
        <w:rPr>
          <w:rFonts w:ascii="Bookman Old Style" w:eastAsia="Calibri" w:hAnsi="Bookman Old Style" w:cs="Times New Roman"/>
          <w:i/>
          <w:color w:val="000000"/>
          <w:sz w:val="20"/>
          <w:szCs w:val="20"/>
        </w:rPr>
        <w:t xml:space="preserve">II. </w:t>
      </w:r>
      <w:r w:rsidRPr="0082200A">
        <w:rPr>
          <w:rFonts w:ascii="Bookman Old Style" w:eastAsia="Calibri" w:hAnsi="Bookman Old Style" w:cs="Times New Roman"/>
          <w:i/>
          <w:color w:val="000000"/>
          <w:sz w:val="20"/>
          <w:szCs w:val="20"/>
        </w:rPr>
        <w:tab/>
        <w:t>Perda do caráter de loteamento fechado.</w:t>
      </w:r>
    </w:p>
    <w:p w:rsidR="00546768" w:rsidRPr="0082200A" w:rsidRDefault="00546768" w:rsidP="00D01B3E">
      <w:pPr>
        <w:spacing w:line="240" w:lineRule="auto"/>
        <w:jc w:val="both"/>
        <w:rPr>
          <w:rFonts w:ascii="Bookman Old Style" w:eastAsia="Calibri" w:hAnsi="Bookman Old Style" w:cs="Times New Roman"/>
          <w:i/>
          <w:color w:val="000000"/>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color w:val="000000"/>
          <w:sz w:val="20"/>
          <w:szCs w:val="20"/>
        </w:rPr>
      </w:pPr>
      <w:r w:rsidRPr="0082200A">
        <w:rPr>
          <w:rFonts w:ascii="Bookman Old Style" w:eastAsia="Calibri" w:hAnsi="Bookman Old Style" w:cs="Times New Roman"/>
          <w:b/>
          <w:i/>
          <w:color w:val="000000"/>
          <w:sz w:val="20"/>
          <w:szCs w:val="20"/>
        </w:rPr>
        <w:t xml:space="preserve">Art. 11 </w:t>
      </w:r>
      <w:r w:rsidRPr="0082200A">
        <w:rPr>
          <w:rFonts w:ascii="Bookman Old Style" w:eastAsia="Calibri" w:hAnsi="Bookman Old Style" w:cs="Times New Roman"/>
          <w:i/>
          <w:color w:val="000000"/>
          <w:sz w:val="20"/>
          <w:szCs w:val="20"/>
        </w:rPr>
        <w:t>Será permitido à Associação dos Proprietários e ao Loteador, enquanto vigorar a permissão de uso em seu nome, controlar o acesso à área fechada do loteamento, observando o disposto no inciso IX, do artigo 8º desta Lei.</w:t>
      </w:r>
    </w:p>
    <w:p w:rsidR="00546768" w:rsidRPr="0082200A" w:rsidRDefault="00546768" w:rsidP="00D01B3E">
      <w:pPr>
        <w:spacing w:line="240" w:lineRule="auto"/>
        <w:ind w:firstLine="1701"/>
        <w:jc w:val="both"/>
        <w:rPr>
          <w:rFonts w:ascii="Bookman Old Style" w:eastAsia="Calibri" w:hAnsi="Bookman Old Style" w:cs="Times New Roman"/>
          <w:i/>
          <w:color w:val="000000"/>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color w:val="000000"/>
          <w:sz w:val="20"/>
          <w:szCs w:val="20"/>
        </w:rPr>
      </w:pPr>
      <w:r w:rsidRPr="0082200A">
        <w:rPr>
          <w:rFonts w:ascii="Bookman Old Style" w:eastAsia="Calibri" w:hAnsi="Bookman Old Style" w:cs="Times New Roman"/>
          <w:b/>
          <w:i/>
          <w:color w:val="000000"/>
          <w:sz w:val="20"/>
          <w:szCs w:val="20"/>
        </w:rPr>
        <w:t xml:space="preserve">Art. 12 </w:t>
      </w:r>
      <w:r w:rsidRPr="0082200A">
        <w:rPr>
          <w:rFonts w:ascii="Bookman Old Style" w:eastAsia="Calibri" w:hAnsi="Bookman Old Style" w:cs="Times New Roman"/>
          <w:i/>
          <w:color w:val="000000"/>
          <w:sz w:val="20"/>
          <w:szCs w:val="20"/>
        </w:rPr>
        <w:t>As despesas do fechamento do loteamento, bem como toda a sinalização que vier a ser necessária em virtude de sua implantação, serão de responsabilidade da Associação dos Proprietários ou do Loteador.</w:t>
      </w:r>
    </w:p>
    <w:p w:rsidR="00546768" w:rsidRPr="0082200A" w:rsidRDefault="00546768" w:rsidP="00D01B3E">
      <w:pPr>
        <w:spacing w:line="240" w:lineRule="auto"/>
        <w:ind w:firstLine="1701"/>
        <w:jc w:val="both"/>
        <w:rPr>
          <w:rFonts w:ascii="Bookman Old Style" w:eastAsia="Calibri" w:hAnsi="Bookman Old Style" w:cs="Times New Roman"/>
          <w:i/>
          <w:color w:val="000000"/>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color w:val="000000"/>
          <w:sz w:val="20"/>
          <w:szCs w:val="20"/>
        </w:rPr>
      </w:pPr>
      <w:r w:rsidRPr="0082200A">
        <w:rPr>
          <w:rFonts w:ascii="Bookman Old Style" w:eastAsia="Calibri" w:hAnsi="Bookman Old Style" w:cs="Times New Roman"/>
          <w:b/>
          <w:i/>
          <w:color w:val="000000"/>
          <w:sz w:val="20"/>
          <w:szCs w:val="20"/>
        </w:rPr>
        <w:t xml:space="preserve">Art. 13 </w:t>
      </w:r>
      <w:r w:rsidRPr="0082200A">
        <w:rPr>
          <w:rFonts w:ascii="Bookman Old Style" w:eastAsia="Calibri" w:hAnsi="Bookman Old Style" w:cs="Times New Roman"/>
          <w:i/>
          <w:color w:val="000000"/>
          <w:sz w:val="20"/>
          <w:szCs w:val="20"/>
        </w:rPr>
        <w:t>As disposições construtivas e os parâmetros de ocupação do solo a serem observados para edificações nos lotes de terrenos deverão atender às exigências definidas pela Lei Municipal nº 4.388/2009 e posteriores alterações, para a zona de uso onde o loteamento estiver localizado.</w:t>
      </w:r>
    </w:p>
    <w:p w:rsidR="00546768" w:rsidRPr="0082200A" w:rsidRDefault="00546768" w:rsidP="00D01B3E">
      <w:pPr>
        <w:spacing w:line="240" w:lineRule="auto"/>
        <w:ind w:firstLine="1701"/>
        <w:jc w:val="both"/>
        <w:rPr>
          <w:rFonts w:ascii="Bookman Old Style" w:eastAsia="Calibri" w:hAnsi="Bookman Old Style" w:cs="Times New Roman"/>
          <w:i/>
          <w:color w:val="000000"/>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sz w:val="20"/>
          <w:szCs w:val="20"/>
        </w:rPr>
      </w:pPr>
      <w:r w:rsidRPr="0082200A">
        <w:rPr>
          <w:rFonts w:ascii="Bookman Old Style" w:eastAsia="Calibri" w:hAnsi="Bookman Old Style" w:cs="Times New Roman"/>
          <w:b/>
          <w:i/>
          <w:color w:val="000000"/>
          <w:sz w:val="20"/>
          <w:szCs w:val="20"/>
        </w:rPr>
        <w:t xml:space="preserve">Parágrafo único. </w:t>
      </w:r>
      <w:proofErr w:type="gramStart"/>
      <w:r w:rsidRPr="0082200A">
        <w:rPr>
          <w:rFonts w:ascii="Bookman Old Style" w:eastAsia="Calibri" w:hAnsi="Bookman Old Style" w:cs="Times New Roman"/>
          <w:i/>
          <w:color w:val="000000"/>
          <w:sz w:val="20"/>
          <w:szCs w:val="20"/>
        </w:rPr>
        <w:t>A largura das vias de circulação da parte fechada do loteamento terão</w:t>
      </w:r>
      <w:proofErr w:type="gramEnd"/>
      <w:r w:rsidRPr="0082200A">
        <w:rPr>
          <w:rFonts w:ascii="Bookman Old Style" w:eastAsia="Calibri" w:hAnsi="Bookman Old Style" w:cs="Times New Roman"/>
          <w:i/>
          <w:color w:val="000000"/>
          <w:sz w:val="20"/>
          <w:szCs w:val="20"/>
        </w:rPr>
        <w:t xml:space="preserve"> largura mínima de 14,00 (quatorze) metros e leito carroçável de 7,00 (sete) metros para vias de mão única e de 8,00 (oito</w:t>
      </w:r>
      <w:r w:rsidR="00635FB3" w:rsidRPr="0082200A">
        <w:rPr>
          <w:rFonts w:ascii="Bookman Old Style" w:eastAsia="Calibri" w:hAnsi="Bookman Old Style" w:cs="Times New Roman"/>
          <w:i/>
          <w:color w:val="000000"/>
          <w:sz w:val="20"/>
          <w:szCs w:val="20"/>
        </w:rPr>
        <w:t>) metros para vias de mão dupla e o</w:t>
      </w:r>
      <w:r w:rsidR="00635FB3" w:rsidRPr="0082200A">
        <w:rPr>
          <w:rFonts w:ascii="Bookman Old Style" w:hAnsi="Bookman Old Style"/>
          <w:i/>
          <w:sz w:val="20"/>
          <w:szCs w:val="20"/>
        </w:rPr>
        <w:t xml:space="preserve"> declive das calçadas será de no máximo 5%.</w:t>
      </w:r>
    </w:p>
    <w:p w:rsidR="00546768" w:rsidRPr="0082200A" w:rsidRDefault="00546768" w:rsidP="00D01B3E">
      <w:pPr>
        <w:spacing w:line="240" w:lineRule="auto"/>
        <w:ind w:firstLine="1701"/>
        <w:jc w:val="both"/>
        <w:rPr>
          <w:rFonts w:ascii="Bookman Old Style" w:eastAsia="Calibri" w:hAnsi="Bookman Old Style" w:cs="Times New Roman"/>
          <w:i/>
          <w:color w:val="000000"/>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color w:val="000000"/>
          <w:sz w:val="20"/>
          <w:szCs w:val="20"/>
        </w:rPr>
      </w:pPr>
      <w:r w:rsidRPr="0082200A">
        <w:rPr>
          <w:rFonts w:ascii="Bookman Old Style" w:eastAsia="Calibri" w:hAnsi="Bookman Old Style" w:cs="Times New Roman"/>
          <w:b/>
          <w:i/>
          <w:color w:val="000000"/>
          <w:sz w:val="20"/>
          <w:szCs w:val="20"/>
        </w:rPr>
        <w:t xml:space="preserve">Art. 14 </w:t>
      </w:r>
      <w:r w:rsidRPr="0082200A">
        <w:rPr>
          <w:rFonts w:ascii="Bookman Old Style" w:eastAsia="Calibri" w:hAnsi="Bookman Old Style" w:cs="Times New Roman"/>
          <w:i/>
          <w:color w:val="000000"/>
          <w:sz w:val="20"/>
          <w:szCs w:val="20"/>
        </w:rPr>
        <w:t xml:space="preserve">Após a publicação do Decreto de outorga da permissão de uso, a utilização das áreas públicas, </w:t>
      </w:r>
      <w:proofErr w:type="gramStart"/>
      <w:r w:rsidRPr="0082200A">
        <w:rPr>
          <w:rFonts w:ascii="Bookman Old Style" w:eastAsia="Calibri" w:hAnsi="Bookman Old Style" w:cs="Times New Roman"/>
          <w:i/>
          <w:color w:val="000000"/>
          <w:sz w:val="20"/>
          <w:szCs w:val="20"/>
        </w:rPr>
        <w:t>situadas na parte fechada do loteamento, respeitados</w:t>
      </w:r>
      <w:proofErr w:type="gramEnd"/>
      <w:r w:rsidRPr="0082200A">
        <w:rPr>
          <w:rFonts w:ascii="Bookman Old Style" w:eastAsia="Calibri" w:hAnsi="Bookman Old Style" w:cs="Times New Roman"/>
          <w:i/>
          <w:color w:val="000000"/>
          <w:sz w:val="20"/>
          <w:szCs w:val="20"/>
        </w:rPr>
        <w:t xml:space="preserve"> os dispositivos legais vigentes, poderá ser objeto de regulamentação própria da entidade representada pela Associação dos Proprietários, enquanto perdurar a citada permissão de uso, sempre respeitando sua destinação.</w:t>
      </w:r>
    </w:p>
    <w:p w:rsidR="00546768" w:rsidRPr="0082200A" w:rsidRDefault="00546768" w:rsidP="00D01B3E">
      <w:pPr>
        <w:spacing w:line="240" w:lineRule="auto"/>
        <w:ind w:firstLine="1701"/>
        <w:jc w:val="both"/>
        <w:rPr>
          <w:rFonts w:ascii="Bookman Old Style" w:eastAsia="Calibri" w:hAnsi="Bookman Old Style" w:cs="Times New Roman"/>
          <w:i/>
          <w:color w:val="000000"/>
          <w:sz w:val="20"/>
          <w:szCs w:val="20"/>
        </w:rPr>
      </w:pPr>
    </w:p>
    <w:p w:rsidR="00E65CB3" w:rsidRPr="0082200A" w:rsidRDefault="00E65CB3" w:rsidP="00D01B3E">
      <w:pPr>
        <w:spacing w:line="240" w:lineRule="auto"/>
        <w:ind w:firstLine="1701"/>
        <w:jc w:val="both"/>
        <w:rPr>
          <w:rFonts w:ascii="Bookman Old Style" w:hAnsi="Bookman Old Style"/>
          <w:i/>
          <w:color w:val="000000"/>
          <w:sz w:val="20"/>
          <w:szCs w:val="20"/>
        </w:rPr>
      </w:pPr>
      <w:r w:rsidRPr="0082200A">
        <w:rPr>
          <w:rFonts w:ascii="Bookman Old Style" w:hAnsi="Bookman Old Style"/>
          <w:b/>
          <w:i/>
          <w:color w:val="000000"/>
          <w:sz w:val="20"/>
          <w:szCs w:val="20"/>
        </w:rPr>
        <w:t>Art. 15</w:t>
      </w:r>
      <w:r w:rsidRPr="0082200A">
        <w:rPr>
          <w:rFonts w:ascii="Bookman Old Style" w:hAnsi="Bookman Old Style"/>
          <w:i/>
          <w:color w:val="000000"/>
          <w:sz w:val="20"/>
          <w:szCs w:val="20"/>
        </w:rPr>
        <w:t xml:space="preserve"> Quando da descaracterização de </w:t>
      </w:r>
      <w:r w:rsidRPr="0082200A">
        <w:rPr>
          <w:rFonts w:ascii="Bookman Old Style" w:hAnsi="Bookman Old Style"/>
          <w:i/>
          <w:sz w:val="20"/>
          <w:szCs w:val="20"/>
        </w:rPr>
        <w:t>loteamento de que trata a presente Lei</w:t>
      </w:r>
      <w:r w:rsidRPr="0082200A">
        <w:rPr>
          <w:rFonts w:ascii="Bookman Old Style" w:hAnsi="Bookman Old Style"/>
          <w:i/>
          <w:color w:val="000000"/>
          <w:sz w:val="20"/>
          <w:szCs w:val="20"/>
        </w:rPr>
        <w:t>, com abertura ao uso público das áreas, objeto de permissão de uso, as mesmas passarão a integrar normalmente o sistema viário, de lazer e verde do Município, bem como as benfeitorias nelas executadas, sem qualquer ônus ao erário público, sendo que a responsabilidade pela retirada do muro de fechamento e pelos encargos decorrentes será da Associação dos Proprietários ou do Loteador, se aquela não tiver sido constituída.</w:t>
      </w:r>
    </w:p>
    <w:p w:rsidR="00546768" w:rsidRPr="0082200A" w:rsidRDefault="00546768" w:rsidP="00D01B3E">
      <w:pPr>
        <w:spacing w:line="240" w:lineRule="auto"/>
        <w:ind w:firstLine="1701"/>
        <w:jc w:val="both"/>
        <w:rPr>
          <w:rFonts w:ascii="Bookman Old Style" w:eastAsia="Calibri" w:hAnsi="Bookman Old Style" w:cs="Times New Roman"/>
          <w:i/>
          <w:color w:val="000000"/>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color w:val="000000"/>
          <w:sz w:val="20"/>
          <w:szCs w:val="20"/>
        </w:rPr>
      </w:pPr>
      <w:r w:rsidRPr="0082200A">
        <w:rPr>
          <w:rFonts w:ascii="Bookman Old Style" w:eastAsia="Calibri" w:hAnsi="Bookman Old Style" w:cs="Times New Roman"/>
          <w:b/>
          <w:i/>
          <w:color w:val="000000"/>
          <w:sz w:val="20"/>
          <w:szCs w:val="20"/>
        </w:rPr>
        <w:t xml:space="preserve">Parágrafo único. </w:t>
      </w:r>
      <w:r w:rsidRPr="0082200A">
        <w:rPr>
          <w:rFonts w:ascii="Bookman Old Style" w:eastAsia="Calibri" w:hAnsi="Bookman Old Style" w:cs="Times New Roman"/>
          <w:i/>
          <w:color w:val="000000"/>
          <w:sz w:val="20"/>
          <w:szCs w:val="20"/>
        </w:rPr>
        <w:t>Se por razões urbanísticas for necessário intervir nos espaços públicos sobre os quais incide a permissão de uso prevista nesta Lei, não caberá à Associação dos Proprietários ou ao Loteador, qualquer indenização ou ressarcimento por benfeitorias eventualmente efetuadas.</w:t>
      </w:r>
    </w:p>
    <w:p w:rsidR="00546768" w:rsidRPr="0082200A" w:rsidRDefault="00546768" w:rsidP="00D01B3E">
      <w:pPr>
        <w:spacing w:line="240" w:lineRule="auto"/>
        <w:ind w:firstLine="1701"/>
        <w:jc w:val="both"/>
        <w:rPr>
          <w:rFonts w:ascii="Bookman Old Style" w:eastAsia="Calibri" w:hAnsi="Bookman Old Style" w:cs="Times New Roman"/>
          <w:i/>
          <w:color w:val="000000"/>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color w:val="000000"/>
          <w:sz w:val="20"/>
          <w:szCs w:val="20"/>
        </w:rPr>
      </w:pPr>
      <w:r w:rsidRPr="0082200A">
        <w:rPr>
          <w:rFonts w:ascii="Bookman Old Style" w:eastAsia="Calibri" w:hAnsi="Bookman Old Style" w:cs="Times New Roman"/>
          <w:b/>
          <w:i/>
          <w:color w:val="000000"/>
          <w:sz w:val="20"/>
          <w:szCs w:val="20"/>
        </w:rPr>
        <w:t xml:space="preserve">Art. </w:t>
      </w:r>
      <w:smartTag w:uri="urn:schemas-microsoft-com:office:smarttags" w:element="metricconverter">
        <w:smartTagPr>
          <w:attr w:name="ProductID" w:val="16 A"/>
        </w:smartTagPr>
        <w:r w:rsidRPr="0082200A">
          <w:rPr>
            <w:rFonts w:ascii="Bookman Old Style" w:eastAsia="Calibri" w:hAnsi="Bookman Old Style" w:cs="Times New Roman"/>
            <w:b/>
            <w:i/>
            <w:color w:val="000000"/>
            <w:sz w:val="20"/>
            <w:szCs w:val="20"/>
          </w:rPr>
          <w:t xml:space="preserve">16 </w:t>
        </w:r>
        <w:r w:rsidRPr="0082200A">
          <w:rPr>
            <w:rFonts w:ascii="Bookman Old Style" w:eastAsia="Calibri" w:hAnsi="Bookman Old Style" w:cs="Times New Roman"/>
            <w:i/>
            <w:color w:val="000000"/>
            <w:sz w:val="20"/>
            <w:szCs w:val="20"/>
          </w:rPr>
          <w:t>A</w:t>
        </w:r>
      </w:smartTag>
      <w:r w:rsidRPr="0082200A">
        <w:rPr>
          <w:rFonts w:ascii="Bookman Old Style" w:eastAsia="Calibri" w:hAnsi="Bookman Old Style" w:cs="Times New Roman"/>
          <w:i/>
          <w:color w:val="000000"/>
          <w:sz w:val="20"/>
          <w:szCs w:val="20"/>
        </w:rPr>
        <w:t xml:space="preserve"> permissão de uso das áreas públicas de lazer, das áreas verdes e das vias de circulação, poderá ser total ou parcial em </w:t>
      </w:r>
      <w:r w:rsidR="00635FB3" w:rsidRPr="0082200A">
        <w:rPr>
          <w:rFonts w:ascii="Bookman Old Style" w:hAnsi="Bookman Old Style"/>
          <w:i/>
          <w:sz w:val="20"/>
          <w:szCs w:val="20"/>
        </w:rPr>
        <w:t>novos loteamentos a partir da data de promulgação desta lei</w:t>
      </w:r>
      <w:r w:rsidRPr="0082200A">
        <w:rPr>
          <w:rFonts w:ascii="Bookman Old Style" w:eastAsia="Calibri" w:hAnsi="Bookman Old Style" w:cs="Times New Roman"/>
          <w:i/>
          <w:color w:val="000000"/>
          <w:sz w:val="20"/>
          <w:szCs w:val="20"/>
        </w:rPr>
        <w:t>, desde que:</w:t>
      </w:r>
    </w:p>
    <w:p w:rsidR="00546768" w:rsidRPr="0082200A" w:rsidRDefault="00546768" w:rsidP="00D01B3E">
      <w:pPr>
        <w:spacing w:line="240" w:lineRule="auto"/>
        <w:jc w:val="both"/>
        <w:rPr>
          <w:rFonts w:ascii="Bookman Old Style" w:eastAsia="Calibri" w:hAnsi="Bookman Old Style" w:cs="Times New Roman"/>
          <w:i/>
          <w:color w:val="000000"/>
          <w:sz w:val="20"/>
          <w:szCs w:val="20"/>
        </w:rPr>
      </w:pPr>
    </w:p>
    <w:p w:rsidR="00546768" w:rsidRPr="0082200A" w:rsidRDefault="00635FB3" w:rsidP="00D01B3E">
      <w:pPr>
        <w:spacing w:line="240" w:lineRule="auto"/>
        <w:jc w:val="both"/>
        <w:rPr>
          <w:rFonts w:ascii="Bookman Old Style" w:eastAsia="Calibri" w:hAnsi="Bookman Old Style" w:cs="Times New Roman"/>
          <w:i/>
          <w:color w:val="000000"/>
          <w:sz w:val="20"/>
          <w:szCs w:val="20"/>
        </w:rPr>
      </w:pPr>
      <w:r w:rsidRPr="0082200A">
        <w:rPr>
          <w:rFonts w:ascii="Bookman Old Style" w:eastAsia="Calibri" w:hAnsi="Bookman Old Style" w:cs="Times New Roman"/>
          <w:i/>
          <w:color w:val="000000"/>
          <w:sz w:val="20"/>
          <w:szCs w:val="20"/>
        </w:rPr>
        <w:t xml:space="preserve">I. </w:t>
      </w:r>
      <w:r w:rsidRPr="0082200A">
        <w:rPr>
          <w:rFonts w:ascii="Bookman Old Style" w:eastAsia="Calibri" w:hAnsi="Bookman Old Style" w:cs="Times New Roman"/>
          <w:i/>
          <w:color w:val="000000"/>
          <w:sz w:val="20"/>
          <w:szCs w:val="20"/>
        </w:rPr>
        <w:tab/>
        <w:t>Haja a anuência de 7</w:t>
      </w:r>
      <w:r w:rsidR="00546768" w:rsidRPr="0082200A">
        <w:rPr>
          <w:rFonts w:ascii="Bookman Old Style" w:eastAsia="Calibri" w:hAnsi="Bookman Old Style" w:cs="Times New Roman"/>
          <w:i/>
          <w:color w:val="000000"/>
          <w:sz w:val="20"/>
          <w:szCs w:val="20"/>
        </w:rPr>
        <w:t>0% (</w:t>
      </w:r>
      <w:r w:rsidRPr="0082200A">
        <w:rPr>
          <w:rFonts w:ascii="Bookman Old Style" w:eastAsia="Calibri" w:hAnsi="Bookman Old Style" w:cs="Times New Roman"/>
          <w:i/>
          <w:color w:val="000000"/>
          <w:sz w:val="20"/>
          <w:szCs w:val="20"/>
        </w:rPr>
        <w:t>setenta</w:t>
      </w:r>
      <w:r w:rsidR="00546768" w:rsidRPr="0082200A">
        <w:rPr>
          <w:rFonts w:ascii="Bookman Old Style" w:eastAsia="Calibri" w:hAnsi="Bookman Old Style" w:cs="Times New Roman"/>
          <w:i/>
          <w:color w:val="000000"/>
          <w:sz w:val="20"/>
          <w:szCs w:val="20"/>
        </w:rPr>
        <w:t xml:space="preserve"> por cento)</w:t>
      </w:r>
      <w:r w:rsidRPr="0082200A">
        <w:rPr>
          <w:rFonts w:ascii="Bookman Old Style" w:eastAsia="Calibri" w:hAnsi="Bookman Old Style" w:cs="Times New Roman"/>
          <w:i/>
          <w:color w:val="000000"/>
          <w:sz w:val="20"/>
          <w:szCs w:val="20"/>
        </w:rPr>
        <w:t xml:space="preserve"> </w:t>
      </w:r>
      <w:r w:rsidR="00546768" w:rsidRPr="0082200A">
        <w:rPr>
          <w:rFonts w:ascii="Bookman Old Style" w:eastAsia="Calibri" w:hAnsi="Bookman Old Style" w:cs="Times New Roman"/>
          <w:i/>
          <w:color w:val="000000"/>
          <w:sz w:val="20"/>
          <w:szCs w:val="20"/>
        </w:rPr>
        <w:t>dos proprietários dos lotes inseridos na porção objeto do fechamento;</w:t>
      </w:r>
    </w:p>
    <w:p w:rsidR="00546768" w:rsidRPr="0082200A" w:rsidRDefault="00546768" w:rsidP="00D01B3E">
      <w:pPr>
        <w:spacing w:line="240" w:lineRule="auto"/>
        <w:jc w:val="both"/>
        <w:rPr>
          <w:rFonts w:ascii="Bookman Old Style" w:eastAsia="Calibri" w:hAnsi="Bookman Old Style" w:cs="Times New Roman"/>
          <w:i/>
          <w:color w:val="000000"/>
          <w:sz w:val="20"/>
          <w:szCs w:val="20"/>
        </w:rPr>
      </w:pPr>
      <w:r w:rsidRPr="0082200A">
        <w:rPr>
          <w:rFonts w:ascii="Bookman Old Style" w:eastAsia="Calibri" w:hAnsi="Bookman Old Style" w:cs="Times New Roman"/>
          <w:i/>
          <w:color w:val="000000"/>
          <w:sz w:val="20"/>
          <w:szCs w:val="20"/>
        </w:rPr>
        <w:t xml:space="preserve">II. </w:t>
      </w:r>
      <w:r w:rsidRPr="0082200A">
        <w:rPr>
          <w:rFonts w:ascii="Bookman Old Style" w:eastAsia="Calibri" w:hAnsi="Bookman Old Style" w:cs="Times New Roman"/>
          <w:i/>
          <w:color w:val="000000"/>
          <w:sz w:val="20"/>
          <w:szCs w:val="20"/>
        </w:rPr>
        <w:tab/>
        <w:t>Para efeito da anuência prevista no inciso anterior, cada lote corresponderá a um voto;</w:t>
      </w:r>
    </w:p>
    <w:p w:rsidR="00546768" w:rsidRPr="0082200A" w:rsidRDefault="00546768" w:rsidP="00D01B3E">
      <w:pPr>
        <w:spacing w:line="240" w:lineRule="auto"/>
        <w:jc w:val="both"/>
        <w:rPr>
          <w:rFonts w:ascii="Bookman Old Style" w:eastAsia="Calibri" w:hAnsi="Bookman Old Style" w:cs="Times New Roman"/>
          <w:i/>
          <w:color w:val="000000"/>
          <w:sz w:val="20"/>
          <w:szCs w:val="20"/>
        </w:rPr>
      </w:pPr>
      <w:r w:rsidRPr="0082200A">
        <w:rPr>
          <w:rFonts w:ascii="Bookman Old Style" w:eastAsia="Calibri" w:hAnsi="Bookman Old Style" w:cs="Times New Roman"/>
          <w:i/>
          <w:color w:val="000000"/>
          <w:sz w:val="20"/>
          <w:szCs w:val="20"/>
        </w:rPr>
        <w:t xml:space="preserve">III. </w:t>
      </w:r>
      <w:r w:rsidRPr="0082200A">
        <w:rPr>
          <w:rFonts w:ascii="Bookman Old Style" w:eastAsia="Calibri" w:hAnsi="Bookman Old Style" w:cs="Times New Roman"/>
          <w:i/>
          <w:color w:val="000000"/>
          <w:sz w:val="20"/>
          <w:szCs w:val="20"/>
        </w:rPr>
        <w:tab/>
        <w:t>O fechamento não seja obstáculo ao sistema viário da região;</w:t>
      </w:r>
    </w:p>
    <w:p w:rsidR="00546768" w:rsidRPr="0082200A" w:rsidRDefault="00546768" w:rsidP="00D01B3E">
      <w:pPr>
        <w:spacing w:line="240" w:lineRule="auto"/>
        <w:jc w:val="both"/>
        <w:rPr>
          <w:rFonts w:ascii="Bookman Old Style" w:eastAsia="Calibri" w:hAnsi="Bookman Old Style" w:cs="Times New Roman"/>
          <w:i/>
          <w:color w:val="000000"/>
          <w:sz w:val="20"/>
          <w:szCs w:val="20"/>
        </w:rPr>
      </w:pPr>
      <w:r w:rsidRPr="0082200A">
        <w:rPr>
          <w:rFonts w:ascii="Bookman Old Style" w:eastAsia="Calibri" w:hAnsi="Bookman Old Style" w:cs="Times New Roman"/>
          <w:i/>
          <w:color w:val="000000"/>
          <w:sz w:val="20"/>
          <w:szCs w:val="20"/>
        </w:rPr>
        <w:t xml:space="preserve">IV </w:t>
      </w:r>
      <w:r w:rsidRPr="0082200A">
        <w:rPr>
          <w:rFonts w:ascii="Bookman Old Style" w:eastAsia="Calibri" w:hAnsi="Bookman Old Style" w:cs="Times New Roman"/>
          <w:i/>
          <w:color w:val="000000"/>
          <w:sz w:val="20"/>
          <w:szCs w:val="20"/>
        </w:rPr>
        <w:tab/>
        <w:t>Os equipamentos urbanos institucionais não podem ser objeto de permissão de uso, sendo considerados comunitários os equipamentos públicos de educação, cultura, saúde, lazer e similares;</w:t>
      </w:r>
    </w:p>
    <w:p w:rsidR="00546768" w:rsidRPr="0082200A" w:rsidRDefault="00546768" w:rsidP="00D01B3E">
      <w:pPr>
        <w:spacing w:line="240" w:lineRule="auto"/>
        <w:jc w:val="both"/>
        <w:rPr>
          <w:rFonts w:ascii="Bookman Old Style" w:eastAsia="Calibri" w:hAnsi="Bookman Old Style" w:cs="Times New Roman"/>
          <w:i/>
          <w:color w:val="000000"/>
          <w:sz w:val="20"/>
          <w:szCs w:val="20"/>
        </w:rPr>
      </w:pPr>
      <w:r w:rsidRPr="0082200A">
        <w:rPr>
          <w:rFonts w:ascii="Bookman Old Style" w:eastAsia="Calibri" w:hAnsi="Bookman Old Style" w:cs="Times New Roman"/>
          <w:i/>
          <w:sz w:val="20"/>
          <w:szCs w:val="20"/>
        </w:rPr>
        <w:t xml:space="preserve">V. </w:t>
      </w:r>
      <w:r w:rsidRPr="0082200A">
        <w:rPr>
          <w:rFonts w:ascii="Bookman Old Style" w:eastAsia="Calibri" w:hAnsi="Bookman Old Style" w:cs="Times New Roman"/>
          <w:i/>
          <w:sz w:val="20"/>
          <w:szCs w:val="20"/>
        </w:rPr>
        <w:tab/>
        <w:t>Submetida à administração da Associação dos Proprietários, devidamente constituída para este fim.</w:t>
      </w:r>
    </w:p>
    <w:p w:rsidR="00546768" w:rsidRPr="0082200A" w:rsidRDefault="00546768" w:rsidP="00D01B3E">
      <w:pPr>
        <w:spacing w:line="240" w:lineRule="auto"/>
        <w:jc w:val="both"/>
        <w:rPr>
          <w:rFonts w:ascii="Bookman Old Style" w:eastAsia="Calibri" w:hAnsi="Bookman Old Style" w:cs="Times New Roman"/>
          <w:i/>
          <w:color w:val="000000"/>
          <w:sz w:val="20"/>
          <w:szCs w:val="20"/>
        </w:rPr>
      </w:pPr>
    </w:p>
    <w:p w:rsidR="00E65CB3" w:rsidRPr="0082200A" w:rsidRDefault="00E65CB3" w:rsidP="00D01B3E">
      <w:pPr>
        <w:spacing w:line="240" w:lineRule="auto"/>
        <w:ind w:firstLine="1701"/>
        <w:jc w:val="both"/>
        <w:rPr>
          <w:rFonts w:ascii="Bookman Old Style" w:hAnsi="Bookman Old Style"/>
          <w:i/>
          <w:color w:val="000000"/>
          <w:sz w:val="20"/>
          <w:szCs w:val="20"/>
        </w:rPr>
      </w:pPr>
      <w:r w:rsidRPr="0082200A">
        <w:rPr>
          <w:rFonts w:ascii="Bookman Old Style" w:hAnsi="Bookman Old Style"/>
          <w:b/>
          <w:i/>
          <w:color w:val="000000"/>
          <w:sz w:val="20"/>
          <w:szCs w:val="20"/>
        </w:rPr>
        <w:t xml:space="preserve">Art. 17 </w:t>
      </w:r>
      <w:r w:rsidRPr="0082200A">
        <w:rPr>
          <w:rFonts w:ascii="Bookman Old Style" w:hAnsi="Bookman Old Style"/>
          <w:i/>
          <w:color w:val="000000"/>
          <w:sz w:val="20"/>
          <w:szCs w:val="20"/>
        </w:rPr>
        <w:t xml:space="preserve">Os loteamentos aprovados no Município poderão adaptar-se </w:t>
      </w:r>
      <w:proofErr w:type="gramStart"/>
      <w:r w:rsidRPr="0082200A">
        <w:rPr>
          <w:rFonts w:ascii="Bookman Old Style" w:hAnsi="Bookman Old Style"/>
          <w:i/>
          <w:color w:val="000000"/>
          <w:sz w:val="20"/>
          <w:szCs w:val="20"/>
        </w:rPr>
        <w:t>à</w:t>
      </w:r>
      <w:proofErr w:type="gramEnd"/>
      <w:r w:rsidRPr="0082200A">
        <w:rPr>
          <w:rFonts w:ascii="Bookman Old Style" w:hAnsi="Bookman Old Style"/>
          <w:i/>
          <w:color w:val="000000"/>
          <w:sz w:val="20"/>
          <w:szCs w:val="20"/>
        </w:rPr>
        <w:t xml:space="preserve"> presente Lei, ante a apresentação e aprovação do novo projeto </w:t>
      </w:r>
      <w:r w:rsidRPr="0082200A">
        <w:rPr>
          <w:rFonts w:ascii="Bookman Old Style" w:hAnsi="Bookman Old Style"/>
          <w:i/>
          <w:sz w:val="20"/>
          <w:szCs w:val="20"/>
        </w:rPr>
        <w:t>de fechamento de loteamento</w:t>
      </w:r>
      <w:r w:rsidRPr="0082200A">
        <w:rPr>
          <w:rFonts w:ascii="Bookman Old Style" w:hAnsi="Bookman Old Style"/>
          <w:i/>
          <w:color w:val="000000"/>
          <w:sz w:val="20"/>
          <w:szCs w:val="20"/>
        </w:rPr>
        <w:t>, pela Prefeitura Municipal de Garça.”</w:t>
      </w:r>
    </w:p>
    <w:p w:rsidR="00546768" w:rsidRPr="0082200A" w:rsidRDefault="00546768" w:rsidP="00D01B3E">
      <w:pPr>
        <w:spacing w:line="240" w:lineRule="auto"/>
        <w:ind w:firstLine="1701"/>
        <w:jc w:val="both"/>
        <w:rPr>
          <w:rFonts w:ascii="Bookman Old Style" w:eastAsia="Calibri" w:hAnsi="Bookman Old Style" w:cs="Times New Roman"/>
          <w:i/>
          <w:color w:val="000000"/>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color w:val="000000"/>
          <w:sz w:val="20"/>
          <w:szCs w:val="20"/>
        </w:rPr>
      </w:pPr>
      <w:r w:rsidRPr="0082200A">
        <w:rPr>
          <w:rFonts w:ascii="Bookman Old Style" w:eastAsia="Calibri" w:hAnsi="Bookman Old Style" w:cs="Times New Roman"/>
          <w:b/>
          <w:i/>
          <w:color w:val="000000"/>
          <w:sz w:val="20"/>
          <w:szCs w:val="20"/>
        </w:rPr>
        <w:t xml:space="preserve">Art. 18 </w:t>
      </w:r>
      <w:r w:rsidRPr="0082200A">
        <w:rPr>
          <w:rFonts w:ascii="Bookman Old Style" w:eastAsia="Calibri" w:hAnsi="Bookman Old Style" w:cs="Times New Roman"/>
          <w:i/>
          <w:color w:val="000000"/>
          <w:sz w:val="20"/>
          <w:szCs w:val="20"/>
        </w:rPr>
        <w:t>As Associações de Proprietários ou Loteadores enquanto vigorar em seu nome a permissão de uso, outorgadas nos termos desta Lei, afixarão em lugar visível na entrada do loteamento placa com os seguintes dizeres:</w:t>
      </w:r>
    </w:p>
    <w:p w:rsidR="00546768" w:rsidRPr="0082200A" w:rsidRDefault="00546768" w:rsidP="00D01B3E">
      <w:pPr>
        <w:spacing w:line="240" w:lineRule="auto"/>
        <w:ind w:firstLine="2835"/>
        <w:jc w:val="both"/>
        <w:rPr>
          <w:rFonts w:ascii="Bookman Old Style" w:eastAsia="Calibri" w:hAnsi="Bookman Old Style" w:cs="Times New Roman"/>
          <w:i/>
          <w:color w:val="000000"/>
          <w:sz w:val="20"/>
          <w:szCs w:val="20"/>
        </w:rPr>
      </w:pPr>
    </w:p>
    <w:p w:rsidR="00546768" w:rsidRPr="0082200A" w:rsidRDefault="00546768" w:rsidP="00D01B3E">
      <w:pPr>
        <w:spacing w:line="240" w:lineRule="auto"/>
        <w:ind w:firstLine="2835"/>
        <w:jc w:val="both"/>
        <w:rPr>
          <w:rFonts w:ascii="Bookman Old Style" w:eastAsia="Calibri" w:hAnsi="Bookman Old Style" w:cs="Times New Roman"/>
          <w:i/>
          <w:color w:val="000000"/>
          <w:sz w:val="20"/>
          <w:szCs w:val="20"/>
        </w:rPr>
      </w:pPr>
      <w:r w:rsidRPr="0082200A">
        <w:rPr>
          <w:rFonts w:ascii="Bookman Old Style" w:eastAsia="Calibri" w:hAnsi="Bookman Old Style" w:cs="Times New Roman"/>
          <w:i/>
          <w:color w:val="000000"/>
          <w:sz w:val="20"/>
          <w:szCs w:val="20"/>
        </w:rPr>
        <w:t>“(denominação do loteamento)</w:t>
      </w:r>
    </w:p>
    <w:p w:rsidR="00546768" w:rsidRPr="0082200A" w:rsidRDefault="00546768" w:rsidP="00D01B3E">
      <w:pPr>
        <w:spacing w:line="240" w:lineRule="auto"/>
        <w:jc w:val="both"/>
        <w:rPr>
          <w:rFonts w:ascii="Bookman Old Style" w:eastAsia="Calibri" w:hAnsi="Bookman Old Style" w:cs="Times New Roman"/>
          <w:i/>
          <w:color w:val="000000"/>
          <w:sz w:val="20"/>
          <w:szCs w:val="20"/>
        </w:rPr>
      </w:pPr>
      <w:r w:rsidRPr="0082200A">
        <w:rPr>
          <w:rFonts w:ascii="Bookman Old Style" w:eastAsia="Calibri" w:hAnsi="Bookman Old Style" w:cs="Times New Roman"/>
          <w:i/>
          <w:color w:val="000000"/>
          <w:sz w:val="20"/>
          <w:szCs w:val="20"/>
        </w:rPr>
        <w:t>PERMISSÃO DE USO REGULAMENTADA PELO DECRETO (Nº E DATA) NOS TERMOS DA LEI MUNICIPAL (Nº E ANO) OUTORGADA À (RAZÃO SOCIAL DA ASSOCIAÇÃO OU DO LOTEADOR, Nº CNPJ E/OU INSCRIÇÃO MUNICIPAL)</w:t>
      </w:r>
    </w:p>
    <w:p w:rsidR="00546768" w:rsidRPr="0082200A" w:rsidRDefault="00546768" w:rsidP="00D01B3E">
      <w:pPr>
        <w:spacing w:line="240" w:lineRule="auto"/>
        <w:ind w:firstLine="2835"/>
        <w:jc w:val="both"/>
        <w:rPr>
          <w:rFonts w:ascii="Bookman Old Style" w:eastAsia="Calibri" w:hAnsi="Bookman Old Style" w:cs="Times New Roman"/>
          <w:i/>
          <w:color w:val="000000"/>
          <w:sz w:val="20"/>
          <w:szCs w:val="20"/>
        </w:rPr>
      </w:pPr>
    </w:p>
    <w:p w:rsidR="00635FB3" w:rsidRPr="0082200A" w:rsidRDefault="00635FB3" w:rsidP="00D01B3E">
      <w:pPr>
        <w:spacing w:line="240" w:lineRule="auto"/>
        <w:ind w:firstLine="1701"/>
        <w:jc w:val="both"/>
        <w:rPr>
          <w:rFonts w:ascii="Bookman Old Style" w:hAnsi="Bookman Old Style"/>
          <w:i/>
          <w:color w:val="000000"/>
          <w:sz w:val="20"/>
          <w:szCs w:val="20"/>
        </w:rPr>
      </w:pPr>
      <w:r w:rsidRPr="0082200A">
        <w:rPr>
          <w:rFonts w:ascii="Bookman Old Style" w:hAnsi="Bookman Old Style"/>
          <w:b/>
          <w:i/>
          <w:color w:val="000000"/>
          <w:sz w:val="20"/>
          <w:szCs w:val="20"/>
        </w:rPr>
        <w:t xml:space="preserve">Art. 19 </w:t>
      </w:r>
      <w:r w:rsidRPr="0082200A">
        <w:rPr>
          <w:rFonts w:ascii="Bookman Old Style" w:hAnsi="Bookman Old Style"/>
          <w:i/>
          <w:color w:val="000000"/>
          <w:sz w:val="20"/>
          <w:szCs w:val="20"/>
        </w:rPr>
        <w:t xml:space="preserve">Para efeito Fiscal, cada lote do </w:t>
      </w:r>
      <w:r w:rsidRPr="0082200A">
        <w:rPr>
          <w:rFonts w:ascii="Bookman Old Style" w:hAnsi="Bookman Old Style"/>
          <w:i/>
          <w:sz w:val="20"/>
          <w:szCs w:val="20"/>
        </w:rPr>
        <w:t>loteamento de que trata a presente Lei</w:t>
      </w:r>
      <w:r w:rsidRPr="0082200A">
        <w:rPr>
          <w:rFonts w:ascii="Bookman Old Style" w:hAnsi="Bookman Old Style"/>
          <w:i/>
          <w:color w:val="000000"/>
          <w:sz w:val="20"/>
          <w:szCs w:val="20"/>
        </w:rPr>
        <w:t>, será tratado como uma unidade autônoma.</w:t>
      </w:r>
    </w:p>
    <w:p w:rsidR="00546768" w:rsidRPr="0082200A" w:rsidRDefault="00546768" w:rsidP="00D01B3E">
      <w:pPr>
        <w:spacing w:line="240" w:lineRule="auto"/>
        <w:ind w:firstLine="1701"/>
        <w:jc w:val="both"/>
        <w:rPr>
          <w:rFonts w:ascii="Bookman Old Style" w:eastAsia="Calibri" w:hAnsi="Bookman Old Style" w:cs="Times New Roman"/>
          <w:i/>
          <w:color w:val="000000"/>
          <w:sz w:val="20"/>
          <w:szCs w:val="20"/>
        </w:rPr>
      </w:pPr>
    </w:p>
    <w:p w:rsidR="00546768" w:rsidRPr="0082200A" w:rsidRDefault="00546768" w:rsidP="00D01B3E">
      <w:pPr>
        <w:spacing w:line="240" w:lineRule="auto"/>
        <w:ind w:firstLine="1701"/>
        <w:jc w:val="both"/>
        <w:rPr>
          <w:rFonts w:ascii="Bookman Old Style" w:eastAsia="Calibri" w:hAnsi="Bookman Old Style" w:cs="Times New Roman"/>
          <w:i/>
          <w:color w:val="000000"/>
          <w:sz w:val="20"/>
          <w:szCs w:val="20"/>
        </w:rPr>
      </w:pPr>
      <w:r w:rsidRPr="0082200A">
        <w:rPr>
          <w:rFonts w:ascii="Bookman Old Style" w:eastAsia="Calibri" w:hAnsi="Bookman Old Style" w:cs="Times New Roman"/>
          <w:b/>
          <w:i/>
          <w:color w:val="000000"/>
          <w:sz w:val="20"/>
          <w:szCs w:val="20"/>
        </w:rPr>
        <w:t>Art. 20</w:t>
      </w:r>
      <w:r w:rsidRPr="0082200A">
        <w:rPr>
          <w:rFonts w:ascii="Bookman Old Style" w:eastAsia="Calibri" w:hAnsi="Bookman Old Style" w:cs="Times New Roman"/>
          <w:i/>
          <w:color w:val="000000"/>
          <w:sz w:val="20"/>
          <w:szCs w:val="20"/>
        </w:rPr>
        <w:t xml:space="preserve"> Esta lei entrará em vigor na data de sua publicação, revogadas as disposições em contrário, em especial a Lei Municipal nº 3.647</w:t>
      </w:r>
      <w:proofErr w:type="gramStart"/>
      <w:r w:rsidRPr="0082200A">
        <w:rPr>
          <w:rFonts w:ascii="Bookman Old Style" w:eastAsia="Calibri" w:hAnsi="Bookman Old Style" w:cs="Times New Roman"/>
          <w:i/>
          <w:color w:val="000000"/>
          <w:sz w:val="20"/>
          <w:szCs w:val="20"/>
        </w:rPr>
        <w:t>/2003, e posteriores alterações</w:t>
      </w:r>
      <w:r w:rsidRPr="0082200A">
        <w:rPr>
          <w:rFonts w:ascii="Bookman Old Style" w:hAnsi="Bookman Old Style"/>
          <w:i/>
          <w:color w:val="000000"/>
          <w:sz w:val="20"/>
          <w:szCs w:val="20"/>
        </w:rPr>
        <w:t>”</w:t>
      </w:r>
      <w:proofErr w:type="gramEnd"/>
      <w:r w:rsidRPr="0082200A">
        <w:rPr>
          <w:rFonts w:ascii="Bookman Old Style" w:eastAsia="Calibri" w:hAnsi="Bookman Old Style" w:cs="Times New Roman"/>
          <w:i/>
          <w:color w:val="000000"/>
          <w:sz w:val="20"/>
          <w:szCs w:val="20"/>
        </w:rPr>
        <w:t>.</w:t>
      </w:r>
    </w:p>
    <w:p w:rsidR="004473FF" w:rsidRPr="00D01B3E" w:rsidRDefault="004473FF" w:rsidP="00D01B3E">
      <w:pPr>
        <w:spacing w:line="240" w:lineRule="auto"/>
        <w:ind w:firstLine="1560"/>
        <w:jc w:val="both"/>
        <w:rPr>
          <w:rFonts w:ascii="Bookman Old Style" w:hAnsi="Bookman Old Style" w:cs="Arial"/>
          <w:sz w:val="20"/>
          <w:szCs w:val="20"/>
        </w:rPr>
      </w:pPr>
    </w:p>
    <w:p w:rsidR="00913A65" w:rsidRPr="00D01B3E" w:rsidRDefault="00913A65" w:rsidP="00D01B3E">
      <w:pPr>
        <w:spacing w:line="240" w:lineRule="auto"/>
        <w:ind w:firstLine="1560"/>
        <w:jc w:val="both"/>
        <w:rPr>
          <w:rFonts w:ascii="Bookman Old Style" w:hAnsi="Bookman Old Style" w:cs="Arial"/>
          <w:sz w:val="20"/>
          <w:szCs w:val="20"/>
        </w:rPr>
      </w:pPr>
    </w:p>
    <w:p w:rsidR="004473FF" w:rsidRPr="00D01B3E" w:rsidRDefault="004473FF" w:rsidP="00D01B3E">
      <w:pPr>
        <w:spacing w:line="240" w:lineRule="auto"/>
        <w:ind w:firstLine="1701"/>
        <w:jc w:val="both"/>
        <w:rPr>
          <w:rFonts w:ascii="Bookman Old Style" w:hAnsi="Bookman Old Style" w:cs="Arial"/>
          <w:sz w:val="20"/>
          <w:szCs w:val="20"/>
        </w:rPr>
      </w:pPr>
      <w:r w:rsidRPr="00D01B3E">
        <w:rPr>
          <w:rFonts w:ascii="Bookman Old Style" w:hAnsi="Bookman Old Style" w:cs="Arial"/>
          <w:sz w:val="20"/>
          <w:szCs w:val="20"/>
        </w:rPr>
        <w:t xml:space="preserve">É o </w:t>
      </w:r>
      <w:r w:rsidR="00546768" w:rsidRPr="00D01B3E">
        <w:rPr>
          <w:rFonts w:ascii="Bookman Old Style" w:hAnsi="Bookman Old Style" w:cs="Arial"/>
          <w:sz w:val="20"/>
          <w:szCs w:val="20"/>
        </w:rPr>
        <w:t>P</w:t>
      </w:r>
      <w:r w:rsidRPr="00D01B3E">
        <w:rPr>
          <w:rFonts w:ascii="Bookman Old Style" w:hAnsi="Bookman Old Style" w:cs="Arial"/>
          <w:sz w:val="20"/>
          <w:szCs w:val="20"/>
        </w:rPr>
        <w:t>arecer.</w:t>
      </w:r>
    </w:p>
    <w:p w:rsidR="00F32FFC" w:rsidRPr="00D01B3E" w:rsidRDefault="00F32FFC" w:rsidP="00D01B3E">
      <w:pPr>
        <w:spacing w:line="240" w:lineRule="auto"/>
        <w:ind w:firstLine="1701"/>
        <w:jc w:val="both"/>
        <w:rPr>
          <w:rFonts w:ascii="Bookman Old Style" w:hAnsi="Bookman Old Style" w:cs="Arial"/>
          <w:sz w:val="20"/>
          <w:szCs w:val="20"/>
        </w:rPr>
      </w:pPr>
    </w:p>
    <w:p w:rsidR="004F4A0A" w:rsidRPr="00D01B3E" w:rsidRDefault="004F4A0A" w:rsidP="00D01B3E">
      <w:pPr>
        <w:spacing w:line="240" w:lineRule="auto"/>
        <w:ind w:firstLine="1701"/>
        <w:jc w:val="both"/>
        <w:rPr>
          <w:rFonts w:ascii="Bookman Old Style" w:hAnsi="Bookman Old Style" w:cs="Arial"/>
          <w:sz w:val="20"/>
          <w:szCs w:val="20"/>
        </w:rPr>
      </w:pPr>
      <w:r w:rsidRPr="00D01B3E">
        <w:rPr>
          <w:rFonts w:ascii="Bookman Old Style" w:hAnsi="Bookman Old Style" w:cs="Arial"/>
          <w:sz w:val="20"/>
          <w:szCs w:val="20"/>
        </w:rPr>
        <w:t xml:space="preserve">S. das Comissões, </w:t>
      </w:r>
      <w:r w:rsidR="00843578" w:rsidRPr="00D01B3E">
        <w:rPr>
          <w:rFonts w:ascii="Bookman Old Style" w:hAnsi="Bookman Old Style" w:cs="Arial"/>
          <w:sz w:val="20"/>
          <w:szCs w:val="20"/>
        </w:rPr>
        <w:t>2</w:t>
      </w:r>
      <w:r w:rsidR="00546768" w:rsidRPr="00D01B3E">
        <w:rPr>
          <w:rFonts w:ascii="Bookman Old Style" w:hAnsi="Bookman Old Style" w:cs="Arial"/>
          <w:sz w:val="20"/>
          <w:szCs w:val="20"/>
        </w:rPr>
        <w:t>1</w:t>
      </w:r>
      <w:r w:rsidRPr="00D01B3E">
        <w:rPr>
          <w:rFonts w:ascii="Bookman Old Style" w:hAnsi="Bookman Old Style" w:cs="Arial"/>
          <w:sz w:val="20"/>
          <w:szCs w:val="20"/>
        </w:rPr>
        <w:t xml:space="preserve"> de </w:t>
      </w:r>
      <w:r w:rsidR="000C07C2" w:rsidRPr="00D01B3E">
        <w:rPr>
          <w:rFonts w:ascii="Bookman Old Style" w:hAnsi="Bookman Old Style" w:cs="Arial"/>
          <w:sz w:val="20"/>
          <w:szCs w:val="20"/>
        </w:rPr>
        <w:t xml:space="preserve">maio </w:t>
      </w:r>
      <w:r w:rsidR="00D97A13" w:rsidRPr="00D01B3E">
        <w:rPr>
          <w:rFonts w:ascii="Bookman Old Style" w:hAnsi="Bookman Old Style" w:cs="Arial"/>
          <w:sz w:val="20"/>
          <w:szCs w:val="20"/>
        </w:rPr>
        <w:t>de 2013</w:t>
      </w:r>
      <w:r w:rsidRPr="00D01B3E">
        <w:rPr>
          <w:rFonts w:ascii="Bookman Old Style" w:hAnsi="Bookman Old Style" w:cs="Arial"/>
          <w:sz w:val="20"/>
          <w:szCs w:val="20"/>
        </w:rPr>
        <w:t>.</w:t>
      </w:r>
    </w:p>
    <w:p w:rsidR="00EE52BF" w:rsidRDefault="00EE52BF" w:rsidP="00D01B3E">
      <w:pPr>
        <w:spacing w:line="240" w:lineRule="auto"/>
        <w:ind w:firstLine="2268"/>
        <w:jc w:val="both"/>
        <w:rPr>
          <w:rFonts w:ascii="Bookman Old Style" w:hAnsi="Bookman Old Style" w:cs="Arial"/>
          <w:sz w:val="20"/>
          <w:szCs w:val="20"/>
        </w:rPr>
      </w:pPr>
    </w:p>
    <w:p w:rsidR="00D01B3E" w:rsidRDefault="00D01B3E" w:rsidP="00D01B3E">
      <w:pPr>
        <w:spacing w:line="240" w:lineRule="auto"/>
        <w:ind w:firstLine="2268"/>
        <w:jc w:val="both"/>
        <w:rPr>
          <w:rFonts w:ascii="Bookman Old Style" w:hAnsi="Bookman Old Style" w:cs="Arial"/>
          <w:sz w:val="20"/>
          <w:szCs w:val="20"/>
        </w:rPr>
      </w:pPr>
    </w:p>
    <w:p w:rsidR="00D01B3E" w:rsidRPr="00D01B3E" w:rsidRDefault="00D01B3E" w:rsidP="00D01B3E">
      <w:pPr>
        <w:spacing w:line="240" w:lineRule="auto"/>
        <w:ind w:firstLine="2268"/>
        <w:jc w:val="both"/>
        <w:rPr>
          <w:rFonts w:ascii="Bookman Old Style" w:hAnsi="Bookman Old Style" w:cs="Arial"/>
          <w:sz w:val="20"/>
          <w:szCs w:val="20"/>
        </w:rPr>
      </w:pPr>
    </w:p>
    <w:p w:rsidR="004F4A0A" w:rsidRPr="00D01B3E" w:rsidRDefault="004F4A0A" w:rsidP="00D01B3E">
      <w:pPr>
        <w:spacing w:line="240" w:lineRule="auto"/>
        <w:jc w:val="center"/>
        <w:rPr>
          <w:rFonts w:ascii="Bookman Old Style" w:hAnsi="Bookman Old Style" w:cs="Arial"/>
          <w:b/>
          <w:sz w:val="20"/>
          <w:szCs w:val="20"/>
        </w:rPr>
      </w:pPr>
      <w:r w:rsidRPr="00D01B3E">
        <w:rPr>
          <w:rFonts w:ascii="Bookman Old Style" w:hAnsi="Bookman Old Style" w:cs="Arial"/>
          <w:b/>
          <w:sz w:val="20"/>
          <w:szCs w:val="20"/>
        </w:rPr>
        <w:t>Lineu Guimarães Filho</w:t>
      </w:r>
    </w:p>
    <w:p w:rsidR="004F4A0A" w:rsidRPr="00D01B3E" w:rsidRDefault="004F4A0A" w:rsidP="00D01B3E">
      <w:pPr>
        <w:spacing w:line="240" w:lineRule="auto"/>
        <w:jc w:val="center"/>
        <w:rPr>
          <w:rFonts w:ascii="Bookman Old Style" w:hAnsi="Bookman Old Style" w:cs="Arial"/>
          <w:sz w:val="20"/>
          <w:szCs w:val="20"/>
        </w:rPr>
      </w:pPr>
      <w:r w:rsidRPr="00D01B3E">
        <w:rPr>
          <w:rFonts w:ascii="Bookman Old Style" w:hAnsi="Bookman Old Style" w:cs="Arial"/>
          <w:sz w:val="20"/>
          <w:szCs w:val="20"/>
        </w:rPr>
        <w:t>Relator</w:t>
      </w:r>
    </w:p>
    <w:p w:rsidR="00EE52BF" w:rsidRDefault="00EE52BF" w:rsidP="00D01B3E">
      <w:pPr>
        <w:spacing w:line="240" w:lineRule="auto"/>
        <w:jc w:val="center"/>
        <w:rPr>
          <w:rFonts w:ascii="Bookman Old Style" w:hAnsi="Bookman Old Style" w:cs="Arial"/>
          <w:sz w:val="20"/>
          <w:szCs w:val="20"/>
        </w:rPr>
      </w:pPr>
    </w:p>
    <w:p w:rsidR="00D01B3E" w:rsidRPr="00D01B3E" w:rsidRDefault="00D01B3E" w:rsidP="00D01B3E">
      <w:pPr>
        <w:spacing w:line="240" w:lineRule="auto"/>
        <w:jc w:val="center"/>
        <w:rPr>
          <w:rFonts w:ascii="Bookman Old Style" w:hAnsi="Bookman Old Style" w:cs="Arial"/>
          <w:sz w:val="20"/>
          <w:szCs w:val="20"/>
        </w:rPr>
      </w:pPr>
    </w:p>
    <w:p w:rsidR="004F4A0A" w:rsidRPr="00D01B3E" w:rsidRDefault="004F4A0A" w:rsidP="00D01B3E">
      <w:pPr>
        <w:spacing w:line="240" w:lineRule="auto"/>
        <w:jc w:val="center"/>
        <w:rPr>
          <w:rFonts w:ascii="Bookman Old Style" w:hAnsi="Bookman Old Style" w:cs="Arial"/>
          <w:sz w:val="20"/>
          <w:szCs w:val="20"/>
        </w:rPr>
      </w:pPr>
      <w:r w:rsidRPr="00D01B3E">
        <w:rPr>
          <w:rFonts w:ascii="Bookman Old Style" w:hAnsi="Bookman Old Style" w:cs="Arial"/>
          <w:sz w:val="20"/>
          <w:szCs w:val="20"/>
        </w:rPr>
        <w:t>Aprovado na reunião da Comissão de Constituição, Justiça e Redação, realizada nesta data.</w:t>
      </w:r>
    </w:p>
    <w:p w:rsidR="00EE52BF" w:rsidRDefault="00EE52BF" w:rsidP="00D01B3E">
      <w:pPr>
        <w:spacing w:line="240" w:lineRule="auto"/>
        <w:jc w:val="center"/>
        <w:rPr>
          <w:rFonts w:ascii="Bookman Old Style" w:hAnsi="Bookman Old Style" w:cs="Arial"/>
          <w:sz w:val="20"/>
          <w:szCs w:val="20"/>
        </w:rPr>
      </w:pPr>
    </w:p>
    <w:p w:rsidR="00D01B3E" w:rsidRDefault="00D01B3E" w:rsidP="00D01B3E">
      <w:pPr>
        <w:spacing w:line="240" w:lineRule="auto"/>
        <w:jc w:val="center"/>
        <w:rPr>
          <w:rFonts w:ascii="Bookman Old Style" w:hAnsi="Bookman Old Style" w:cs="Arial"/>
          <w:sz w:val="20"/>
          <w:szCs w:val="20"/>
        </w:rPr>
      </w:pPr>
    </w:p>
    <w:p w:rsidR="00D01B3E" w:rsidRPr="00D01B3E" w:rsidRDefault="00D01B3E" w:rsidP="00D01B3E">
      <w:pPr>
        <w:spacing w:line="240" w:lineRule="auto"/>
        <w:jc w:val="center"/>
        <w:rPr>
          <w:rFonts w:ascii="Bookman Old Style" w:hAnsi="Bookman Old Style" w:cs="Arial"/>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70"/>
        <w:gridCol w:w="3070"/>
        <w:gridCol w:w="3071"/>
      </w:tblGrid>
      <w:tr w:rsidR="004F4A0A" w:rsidRPr="00D01B3E" w:rsidTr="004F4A0A">
        <w:tc>
          <w:tcPr>
            <w:tcW w:w="3070" w:type="dxa"/>
          </w:tcPr>
          <w:p w:rsidR="004F4A0A" w:rsidRPr="00D01B3E" w:rsidRDefault="004F4A0A" w:rsidP="00D01B3E">
            <w:pPr>
              <w:jc w:val="center"/>
              <w:rPr>
                <w:rFonts w:ascii="Bookman Old Style" w:hAnsi="Bookman Old Style" w:cs="Arial"/>
                <w:b/>
                <w:sz w:val="20"/>
                <w:szCs w:val="20"/>
              </w:rPr>
            </w:pPr>
          </w:p>
        </w:tc>
        <w:tc>
          <w:tcPr>
            <w:tcW w:w="3070" w:type="dxa"/>
          </w:tcPr>
          <w:p w:rsidR="004F4A0A" w:rsidRPr="00D01B3E" w:rsidRDefault="004F4A0A" w:rsidP="00D01B3E">
            <w:pPr>
              <w:jc w:val="center"/>
              <w:rPr>
                <w:rFonts w:ascii="Bookman Old Style" w:hAnsi="Bookman Old Style" w:cs="Arial"/>
                <w:b/>
                <w:sz w:val="20"/>
                <w:szCs w:val="20"/>
              </w:rPr>
            </w:pPr>
            <w:r w:rsidRPr="00D01B3E">
              <w:rPr>
                <w:rFonts w:ascii="Bookman Old Style" w:hAnsi="Bookman Old Style" w:cs="Arial"/>
                <w:b/>
                <w:sz w:val="20"/>
                <w:szCs w:val="20"/>
              </w:rPr>
              <w:t>Lineu Guimarães Filho</w:t>
            </w:r>
          </w:p>
        </w:tc>
        <w:tc>
          <w:tcPr>
            <w:tcW w:w="3071" w:type="dxa"/>
          </w:tcPr>
          <w:p w:rsidR="004F4A0A" w:rsidRPr="00D01B3E" w:rsidRDefault="004F4A0A" w:rsidP="00D01B3E">
            <w:pPr>
              <w:jc w:val="center"/>
              <w:rPr>
                <w:rFonts w:ascii="Bookman Old Style" w:hAnsi="Bookman Old Style" w:cs="Arial"/>
                <w:b/>
                <w:sz w:val="20"/>
                <w:szCs w:val="20"/>
              </w:rPr>
            </w:pPr>
          </w:p>
        </w:tc>
      </w:tr>
      <w:tr w:rsidR="004F4A0A" w:rsidRPr="00D01B3E" w:rsidTr="004F4A0A">
        <w:tc>
          <w:tcPr>
            <w:tcW w:w="3070" w:type="dxa"/>
          </w:tcPr>
          <w:p w:rsidR="004F4A0A" w:rsidRPr="00D01B3E" w:rsidRDefault="004F4A0A" w:rsidP="00D01B3E">
            <w:pPr>
              <w:jc w:val="center"/>
              <w:rPr>
                <w:rFonts w:ascii="Bookman Old Style" w:hAnsi="Bookman Old Style" w:cs="Arial"/>
                <w:sz w:val="20"/>
                <w:szCs w:val="20"/>
              </w:rPr>
            </w:pPr>
          </w:p>
        </w:tc>
        <w:tc>
          <w:tcPr>
            <w:tcW w:w="3070" w:type="dxa"/>
          </w:tcPr>
          <w:p w:rsidR="004F4A0A" w:rsidRDefault="004F4A0A" w:rsidP="00D01B3E">
            <w:pPr>
              <w:jc w:val="center"/>
              <w:rPr>
                <w:rFonts w:ascii="Bookman Old Style" w:hAnsi="Bookman Old Style" w:cs="Arial"/>
                <w:sz w:val="20"/>
                <w:szCs w:val="20"/>
              </w:rPr>
            </w:pPr>
            <w:r w:rsidRPr="00D01B3E">
              <w:rPr>
                <w:rFonts w:ascii="Bookman Old Style" w:hAnsi="Bookman Old Style" w:cs="Arial"/>
                <w:sz w:val="20"/>
                <w:szCs w:val="20"/>
              </w:rPr>
              <w:t>Presidente</w:t>
            </w:r>
          </w:p>
          <w:p w:rsidR="00D01B3E" w:rsidRDefault="00D01B3E" w:rsidP="00D01B3E">
            <w:pPr>
              <w:jc w:val="center"/>
              <w:rPr>
                <w:rFonts w:ascii="Bookman Old Style" w:hAnsi="Bookman Old Style" w:cs="Arial"/>
                <w:sz w:val="20"/>
                <w:szCs w:val="20"/>
              </w:rPr>
            </w:pPr>
          </w:p>
          <w:p w:rsidR="00D01B3E" w:rsidRPr="00D01B3E" w:rsidRDefault="00D01B3E" w:rsidP="00D01B3E">
            <w:pPr>
              <w:jc w:val="center"/>
              <w:rPr>
                <w:rFonts w:ascii="Bookman Old Style" w:hAnsi="Bookman Old Style" w:cs="Arial"/>
                <w:sz w:val="20"/>
                <w:szCs w:val="20"/>
              </w:rPr>
            </w:pPr>
          </w:p>
        </w:tc>
        <w:tc>
          <w:tcPr>
            <w:tcW w:w="3071" w:type="dxa"/>
          </w:tcPr>
          <w:p w:rsidR="004F4A0A" w:rsidRPr="00D01B3E" w:rsidRDefault="004F4A0A" w:rsidP="00D01B3E">
            <w:pPr>
              <w:jc w:val="center"/>
              <w:rPr>
                <w:rFonts w:ascii="Bookman Old Style" w:hAnsi="Bookman Old Style" w:cs="Arial"/>
                <w:sz w:val="20"/>
                <w:szCs w:val="20"/>
              </w:rPr>
            </w:pPr>
          </w:p>
        </w:tc>
      </w:tr>
      <w:tr w:rsidR="004F4A0A" w:rsidRPr="00D01B3E" w:rsidTr="004F4A0A">
        <w:tc>
          <w:tcPr>
            <w:tcW w:w="3070" w:type="dxa"/>
          </w:tcPr>
          <w:p w:rsidR="00EE52BF" w:rsidRPr="00D01B3E" w:rsidRDefault="00EE52BF" w:rsidP="00D01B3E">
            <w:pPr>
              <w:jc w:val="center"/>
              <w:rPr>
                <w:rFonts w:ascii="Bookman Old Style" w:hAnsi="Bookman Old Style" w:cs="Arial"/>
                <w:sz w:val="20"/>
                <w:szCs w:val="20"/>
              </w:rPr>
            </w:pPr>
          </w:p>
        </w:tc>
        <w:tc>
          <w:tcPr>
            <w:tcW w:w="3070" w:type="dxa"/>
          </w:tcPr>
          <w:p w:rsidR="004F4A0A" w:rsidRPr="00D01B3E" w:rsidRDefault="004F4A0A" w:rsidP="00D01B3E">
            <w:pPr>
              <w:jc w:val="center"/>
              <w:rPr>
                <w:rFonts w:ascii="Bookman Old Style" w:hAnsi="Bookman Old Style" w:cs="Arial"/>
                <w:sz w:val="20"/>
                <w:szCs w:val="20"/>
              </w:rPr>
            </w:pPr>
          </w:p>
        </w:tc>
        <w:tc>
          <w:tcPr>
            <w:tcW w:w="3071" w:type="dxa"/>
          </w:tcPr>
          <w:p w:rsidR="004F4A0A" w:rsidRPr="00D01B3E" w:rsidRDefault="004F4A0A" w:rsidP="00D01B3E">
            <w:pPr>
              <w:jc w:val="center"/>
              <w:rPr>
                <w:rFonts w:ascii="Bookman Old Style" w:hAnsi="Bookman Old Style" w:cs="Arial"/>
                <w:sz w:val="20"/>
                <w:szCs w:val="20"/>
              </w:rPr>
            </w:pPr>
          </w:p>
        </w:tc>
      </w:tr>
      <w:tr w:rsidR="004F4A0A" w:rsidRPr="00D01B3E" w:rsidTr="004F4A0A">
        <w:tc>
          <w:tcPr>
            <w:tcW w:w="3070" w:type="dxa"/>
          </w:tcPr>
          <w:p w:rsidR="004F4A0A" w:rsidRPr="00D01B3E" w:rsidRDefault="004F4A0A" w:rsidP="00D01B3E">
            <w:pPr>
              <w:jc w:val="center"/>
              <w:rPr>
                <w:rFonts w:ascii="Bookman Old Style" w:hAnsi="Bookman Old Style" w:cs="Arial"/>
                <w:b/>
                <w:sz w:val="20"/>
                <w:szCs w:val="20"/>
              </w:rPr>
            </w:pPr>
            <w:r w:rsidRPr="00D01B3E">
              <w:rPr>
                <w:rFonts w:ascii="Bookman Old Style" w:hAnsi="Bookman Old Style" w:cs="Arial"/>
                <w:b/>
                <w:sz w:val="20"/>
                <w:szCs w:val="20"/>
              </w:rPr>
              <w:t xml:space="preserve">Julio M. de </w:t>
            </w:r>
            <w:proofErr w:type="gramStart"/>
            <w:r w:rsidRPr="00D01B3E">
              <w:rPr>
                <w:rFonts w:ascii="Bookman Old Style" w:hAnsi="Bookman Old Style" w:cs="Arial"/>
                <w:b/>
                <w:sz w:val="20"/>
                <w:szCs w:val="20"/>
              </w:rPr>
              <w:t>Moura Filho</w:t>
            </w:r>
            <w:proofErr w:type="gramEnd"/>
          </w:p>
        </w:tc>
        <w:tc>
          <w:tcPr>
            <w:tcW w:w="3070" w:type="dxa"/>
          </w:tcPr>
          <w:p w:rsidR="004F4A0A" w:rsidRPr="00D01B3E" w:rsidRDefault="004F4A0A" w:rsidP="00D01B3E">
            <w:pPr>
              <w:jc w:val="center"/>
              <w:rPr>
                <w:rFonts w:ascii="Bookman Old Style" w:hAnsi="Bookman Old Style" w:cs="Arial"/>
                <w:b/>
                <w:sz w:val="20"/>
                <w:szCs w:val="20"/>
              </w:rPr>
            </w:pPr>
          </w:p>
        </w:tc>
        <w:tc>
          <w:tcPr>
            <w:tcW w:w="3071" w:type="dxa"/>
          </w:tcPr>
          <w:p w:rsidR="004F4A0A" w:rsidRPr="00D01B3E" w:rsidRDefault="004F4A0A" w:rsidP="00D01B3E">
            <w:pPr>
              <w:jc w:val="center"/>
              <w:rPr>
                <w:rFonts w:ascii="Bookman Old Style" w:hAnsi="Bookman Old Style" w:cs="Arial"/>
                <w:b/>
                <w:sz w:val="20"/>
                <w:szCs w:val="20"/>
              </w:rPr>
            </w:pPr>
            <w:r w:rsidRPr="00D01B3E">
              <w:rPr>
                <w:rFonts w:ascii="Bookman Old Style" w:hAnsi="Bookman Old Style" w:cs="Arial"/>
                <w:b/>
                <w:sz w:val="20"/>
                <w:szCs w:val="20"/>
              </w:rPr>
              <w:t>Antonio F. dos Santos</w:t>
            </w:r>
          </w:p>
        </w:tc>
      </w:tr>
      <w:tr w:rsidR="004F4A0A" w:rsidRPr="00D01B3E" w:rsidTr="004F4A0A">
        <w:tc>
          <w:tcPr>
            <w:tcW w:w="3070" w:type="dxa"/>
          </w:tcPr>
          <w:p w:rsidR="004F4A0A" w:rsidRPr="00D01B3E" w:rsidRDefault="004F4A0A" w:rsidP="00D01B3E">
            <w:pPr>
              <w:jc w:val="center"/>
              <w:rPr>
                <w:rFonts w:ascii="Bookman Old Style" w:hAnsi="Bookman Old Style" w:cs="Arial"/>
                <w:sz w:val="20"/>
                <w:szCs w:val="20"/>
              </w:rPr>
            </w:pPr>
            <w:r w:rsidRPr="00D01B3E">
              <w:rPr>
                <w:rFonts w:ascii="Bookman Old Style" w:hAnsi="Bookman Old Style" w:cs="Arial"/>
                <w:sz w:val="20"/>
                <w:szCs w:val="20"/>
              </w:rPr>
              <w:t>Vice Presidente</w:t>
            </w:r>
          </w:p>
        </w:tc>
        <w:tc>
          <w:tcPr>
            <w:tcW w:w="3070" w:type="dxa"/>
          </w:tcPr>
          <w:p w:rsidR="004F4A0A" w:rsidRPr="00D01B3E" w:rsidRDefault="004F4A0A" w:rsidP="00D01B3E">
            <w:pPr>
              <w:jc w:val="center"/>
              <w:rPr>
                <w:rFonts w:ascii="Bookman Old Style" w:hAnsi="Bookman Old Style" w:cs="Arial"/>
                <w:sz w:val="20"/>
                <w:szCs w:val="20"/>
              </w:rPr>
            </w:pPr>
          </w:p>
        </w:tc>
        <w:tc>
          <w:tcPr>
            <w:tcW w:w="3071" w:type="dxa"/>
          </w:tcPr>
          <w:p w:rsidR="004F4A0A" w:rsidRPr="00D01B3E" w:rsidRDefault="004F4A0A" w:rsidP="00D01B3E">
            <w:pPr>
              <w:jc w:val="center"/>
              <w:rPr>
                <w:rFonts w:ascii="Bookman Old Style" w:hAnsi="Bookman Old Style" w:cs="Arial"/>
                <w:sz w:val="20"/>
                <w:szCs w:val="20"/>
              </w:rPr>
            </w:pPr>
            <w:r w:rsidRPr="00D01B3E">
              <w:rPr>
                <w:rFonts w:ascii="Bookman Old Style" w:hAnsi="Bookman Old Style" w:cs="Arial"/>
                <w:sz w:val="20"/>
                <w:szCs w:val="20"/>
              </w:rPr>
              <w:t>Secretário</w:t>
            </w:r>
          </w:p>
        </w:tc>
      </w:tr>
    </w:tbl>
    <w:p w:rsidR="00C32988" w:rsidRPr="00D01B3E" w:rsidRDefault="00C32988" w:rsidP="00D01B3E">
      <w:pPr>
        <w:spacing w:line="240" w:lineRule="auto"/>
        <w:jc w:val="both"/>
        <w:rPr>
          <w:rFonts w:ascii="Bookman Old Style" w:hAnsi="Bookman Old Style" w:cs="Arial"/>
          <w:sz w:val="20"/>
          <w:szCs w:val="20"/>
        </w:rPr>
      </w:pPr>
    </w:p>
    <w:sectPr w:rsidR="00C32988" w:rsidRPr="00D01B3E" w:rsidSect="00D70691">
      <w:headerReference w:type="default" r:id="rId8"/>
      <w:pgSz w:w="11906" w:h="16838"/>
      <w:pgMar w:top="2552" w:right="1134" w:bottom="156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1B3E" w:rsidRDefault="00D01B3E" w:rsidP="008B3F5E">
      <w:pPr>
        <w:spacing w:line="240" w:lineRule="auto"/>
      </w:pPr>
      <w:r>
        <w:separator/>
      </w:r>
    </w:p>
  </w:endnote>
  <w:endnote w:type="continuationSeparator" w:id="1">
    <w:p w:rsidR="00D01B3E" w:rsidRDefault="00D01B3E" w:rsidP="008B3F5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Roman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1B3E" w:rsidRDefault="00D01B3E" w:rsidP="008B3F5E">
      <w:pPr>
        <w:spacing w:line="240" w:lineRule="auto"/>
      </w:pPr>
      <w:r>
        <w:separator/>
      </w:r>
    </w:p>
  </w:footnote>
  <w:footnote w:type="continuationSeparator" w:id="1">
    <w:p w:rsidR="00D01B3E" w:rsidRDefault="00D01B3E" w:rsidP="008B3F5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B3E" w:rsidRDefault="00D01B3E" w:rsidP="008B3F5E">
    <w:pPr>
      <w:pStyle w:val="Cabealho"/>
      <w:ind w:left="720"/>
      <w:jc w:val="center"/>
      <w:rPr>
        <w:rFonts w:ascii="Monotype Corsiva" w:hAnsi="Monotype Corsiva"/>
        <w:b/>
        <w:bCs/>
        <w:i/>
        <w:sz w:val="66"/>
      </w:rPr>
    </w:pPr>
    <w:r>
      <w:rPr>
        <w:noProof/>
        <w:lang w:eastAsia="pt-BR"/>
      </w:rPr>
      <w:drawing>
        <wp:anchor distT="0" distB="0" distL="114300" distR="114300" simplePos="0" relativeHeight="251659264" behindDoc="0" locked="0" layoutInCell="1" allowOverlap="1">
          <wp:simplePos x="0" y="0"/>
          <wp:positionH relativeFrom="column">
            <wp:posOffset>-127635</wp:posOffset>
          </wp:positionH>
          <wp:positionV relativeFrom="paragraph">
            <wp:posOffset>2540</wp:posOffset>
          </wp:positionV>
          <wp:extent cx="956310" cy="1018540"/>
          <wp:effectExtent l="19050" t="0" r="0" b="0"/>
          <wp:wrapTopAndBottom/>
          <wp:docPr id="1" name="Imagem 1" descr="Image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m2"/>
                  <pic:cNvPicPr>
                    <a:picLocks noChangeAspect="1" noChangeArrowheads="1"/>
                  </pic:cNvPicPr>
                </pic:nvPicPr>
                <pic:blipFill>
                  <a:blip r:embed="rId1"/>
                  <a:srcRect/>
                  <a:stretch>
                    <a:fillRect/>
                  </a:stretch>
                </pic:blipFill>
                <pic:spPr bwMode="auto">
                  <a:xfrm>
                    <a:off x="0" y="0"/>
                    <a:ext cx="956310" cy="1018540"/>
                  </a:xfrm>
                  <a:prstGeom prst="rect">
                    <a:avLst/>
                  </a:prstGeom>
                  <a:noFill/>
                </pic:spPr>
              </pic:pic>
            </a:graphicData>
          </a:graphic>
        </wp:anchor>
      </w:drawing>
    </w:r>
    <w:r>
      <w:rPr>
        <w:rFonts w:ascii="Monotype Corsiva" w:hAnsi="Monotype Corsiva"/>
        <w:b/>
        <w:bCs/>
        <w:i/>
        <w:sz w:val="66"/>
      </w:rPr>
      <w:t>Câmara Municipal de Garça</w:t>
    </w:r>
  </w:p>
  <w:p w:rsidR="00D01B3E" w:rsidRDefault="00D01B3E" w:rsidP="008B3F5E">
    <w:pPr>
      <w:pStyle w:val="Cabealho"/>
      <w:tabs>
        <w:tab w:val="left" w:pos="2535"/>
        <w:tab w:val="center" w:pos="5055"/>
      </w:tabs>
      <w:ind w:left="720"/>
      <w:jc w:val="center"/>
      <w:rPr>
        <w:rFonts w:ascii="Monotype Corsiva" w:hAnsi="Monotype Corsiva"/>
        <w:b/>
        <w:bCs/>
        <w:i/>
        <w:sz w:val="30"/>
      </w:rPr>
    </w:pPr>
    <w:r>
      <w:rPr>
        <w:rFonts w:ascii="Monotype Corsiva" w:hAnsi="Monotype Corsiva"/>
        <w:b/>
        <w:bCs/>
        <w:i/>
        <w:sz w:val="30"/>
      </w:rPr>
      <w:t>Estado de São Paulo</w:t>
    </w:r>
  </w:p>
  <w:p w:rsidR="00D01B3E" w:rsidRDefault="00D01B3E" w:rsidP="008B3F5E">
    <w:pPr>
      <w:pStyle w:val="Cabealho"/>
      <w:ind w:left="720"/>
      <w:jc w:val="center"/>
      <w:rPr>
        <w:rFonts w:ascii="Monotype Corsiva" w:hAnsi="Monotype Corsiva"/>
        <w:b/>
        <w:bCs/>
        <w:i/>
        <w:sz w:val="30"/>
      </w:rPr>
    </w:pPr>
  </w:p>
  <w:p w:rsidR="00D01B3E" w:rsidRDefault="00D01B3E" w:rsidP="008B3F5E">
    <w:pPr>
      <w:pStyle w:val="Cabealho"/>
      <w:rPr>
        <w:rFonts w:ascii="Roman 12cpi" w:hAnsi="Roman 12cpi"/>
        <w:sz w:val="20"/>
      </w:rPr>
    </w:pPr>
  </w:p>
  <w:p w:rsidR="00D01B3E" w:rsidRDefault="00D01B3E" w:rsidP="008B3F5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B7802"/>
    <w:multiLevelType w:val="hybridMultilevel"/>
    <w:tmpl w:val="5824E05A"/>
    <w:lvl w:ilvl="0" w:tplc="07E056C0">
      <w:start w:val="1"/>
      <w:numFmt w:val="upperRoman"/>
      <w:lvlText w:val="%1."/>
      <w:lvlJc w:val="right"/>
      <w:pPr>
        <w:tabs>
          <w:tab w:val="num" w:pos="1620"/>
        </w:tabs>
        <w:ind w:left="1620" w:hanging="180"/>
      </w:pPr>
      <w:rPr>
        <w:rFonts w:hint="default"/>
      </w:rPr>
    </w:lvl>
    <w:lvl w:ilvl="1" w:tplc="61789BAC">
      <w:start w:val="1"/>
      <w:numFmt w:val="lowerLetter"/>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nsid w:val="1EF95C6A"/>
    <w:multiLevelType w:val="hybridMultilevel"/>
    <w:tmpl w:val="2DD8FCBC"/>
    <w:lvl w:ilvl="0" w:tplc="5AA00D24">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drawingGridHorizontalSpacing w:val="110"/>
  <w:displayHorizontalDrawingGridEvery w:val="2"/>
  <w:characterSpacingControl w:val="doNotCompress"/>
  <w:savePreviewPicture/>
  <w:footnotePr>
    <w:footnote w:id="0"/>
    <w:footnote w:id="1"/>
  </w:footnotePr>
  <w:endnotePr>
    <w:endnote w:id="0"/>
    <w:endnote w:id="1"/>
  </w:endnotePr>
  <w:compat/>
  <w:rsids>
    <w:rsidRoot w:val="00C32988"/>
    <w:rsid w:val="00034C21"/>
    <w:rsid w:val="000A38E1"/>
    <w:rsid w:val="000B2D02"/>
    <w:rsid w:val="000B5389"/>
    <w:rsid w:val="000B7E69"/>
    <w:rsid w:val="000C07C2"/>
    <w:rsid w:val="000F54A8"/>
    <w:rsid w:val="001204D9"/>
    <w:rsid w:val="00123009"/>
    <w:rsid w:val="001774FD"/>
    <w:rsid w:val="00250E1D"/>
    <w:rsid w:val="0026038E"/>
    <w:rsid w:val="00272522"/>
    <w:rsid w:val="002929D0"/>
    <w:rsid w:val="00303902"/>
    <w:rsid w:val="00340F97"/>
    <w:rsid w:val="00393F13"/>
    <w:rsid w:val="003A52A2"/>
    <w:rsid w:val="003F7CFA"/>
    <w:rsid w:val="00420985"/>
    <w:rsid w:val="00423790"/>
    <w:rsid w:val="00437978"/>
    <w:rsid w:val="004473FF"/>
    <w:rsid w:val="004511EF"/>
    <w:rsid w:val="004654AD"/>
    <w:rsid w:val="004B3F8A"/>
    <w:rsid w:val="004C4860"/>
    <w:rsid w:val="004F4A0A"/>
    <w:rsid w:val="005017C8"/>
    <w:rsid w:val="00535838"/>
    <w:rsid w:val="005369B8"/>
    <w:rsid w:val="00546768"/>
    <w:rsid w:val="00562A74"/>
    <w:rsid w:val="005654A6"/>
    <w:rsid w:val="00582DE0"/>
    <w:rsid w:val="0059067E"/>
    <w:rsid w:val="005A0DA0"/>
    <w:rsid w:val="005A3B32"/>
    <w:rsid w:val="005B13A6"/>
    <w:rsid w:val="005B2046"/>
    <w:rsid w:val="00635FB3"/>
    <w:rsid w:val="00640032"/>
    <w:rsid w:val="00650F9E"/>
    <w:rsid w:val="00741B72"/>
    <w:rsid w:val="00746147"/>
    <w:rsid w:val="007570AB"/>
    <w:rsid w:val="007646C6"/>
    <w:rsid w:val="007D4674"/>
    <w:rsid w:val="00816F9A"/>
    <w:rsid w:val="0082200A"/>
    <w:rsid w:val="0083279E"/>
    <w:rsid w:val="00843578"/>
    <w:rsid w:val="00851A49"/>
    <w:rsid w:val="008B3F5E"/>
    <w:rsid w:val="008B681E"/>
    <w:rsid w:val="00913A65"/>
    <w:rsid w:val="00944023"/>
    <w:rsid w:val="00994A1B"/>
    <w:rsid w:val="009B55E6"/>
    <w:rsid w:val="009C6292"/>
    <w:rsid w:val="009F2371"/>
    <w:rsid w:val="00A80028"/>
    <w:rsid w:val="00AE774C"/>
    <w:rsid w:val="00B04644"/>
    <w:rsid w:val="00B24C51"/>
    <w:rsid w:val="00B540C8"/>
    <w:rsid w:val="00BA3D3F"/>
    <w:rsid w:val="00BA53B4"/>
    <w:rsid w:val="00BD71C8"/>
    <w:rsid w:val="00BE394B"/>
    <w:rsid w:val="00C32988"/>
    <w:rsid w:val="00C872C4"/>
    <w:rsid w:val="00CA1EC9"/>
    <w:rsid w:val="00CE1825"/>
    <w:rsid w:val="00CF6BDA"/>
    <w:rsid w:val="00D01B3E"/>
    <w:rsid w:val="00D127CB"/>
    <w:rsid w:val="00D12B63"/>
    <w:rsid w:val="00D348A3"/>
    <w:rsid w:val="00D620C3"/>
    <w:rsid w:val="00D64098"/>
    <w:rsid w:val="00D70691"/>
    <w:rsid w:val="00D97A13"/>
    <w:rsid w:val="00DA5779"/>
    <w:rsid w:val="00DB5FEB"/>
    <w:rsid w:val="00DC1241"/>
    <w:rsid w:val="00DF0EBC"/>
    <w:rsid w:val="00DF40F6"/>
    <w:rsid w:val="00E05DEB"/>
    <w:rsid w:val="00E417D4"/>
    <w:rsid w:val="00E65CB3"/>
    <w:rsid w:val="00E66B42"/>
    <w:rsid w:val="00EA1210"/>
    <w:rsid w:val="00EA7149"/>
    <w:rsid w:val="00EB176C"/>
    <w:rsid w:val="00ED2087"/>
    <w:rsid w:val="00EE3A17"/>
    <w:rsid w:val="00EE477B"/>
    <w:rsid w:val="00EE52BF"/>
    <w:rsid w:val="00EF071F"/>
    <w:rsid w:val="00F05578"/>
    <w:rsid w:val="00F23D17"/>
    <w:rsid w:val="00F322AC"/>
    <w:rsid w:val="00F32FFC"/>
    <w:rsid w:val="00F50DB5"/>
    <w:rsid w:val="00F60691"/>
    <w:rsid w:val="00F80A3B"/>
    <w:rsid w:val="00FE02BC"/>
    <w:rsid w:val="00FF4A4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6292"/>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4F4A0A"/>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rte">
    <w:name w:val="Strong"/>
    <w:basedOn w:val="Fontepargpadro"/>
    <w:uiPriority w:val="22"/>
    <w:qFormat/>
    <w:rsid w:val="005654A6"/>
    <w:rPr>
      <w:b/>
      <w:bCs/>
    </w:rPr>
  </w:style>
  <w:style w:type="paragraph" w:styleId="Corpodetexto">
    <w:name w:val="Body Text"/>
    <w:basedOn w:val="Normal"/>
    <w:link w:val="CorpodetextoChar"/>
    <w:uiPriority w:val="99"/>
    <w:semiHidden/>
    <w:unhideWhenUsed/>
    <w:rsid w:val="005654A6"/>
    <w:pPr>
      <w:spacing w:before="100" w:beforeAutospacing="1" w:after="100" w:afterAutospacing="1" w:line="240" w:lineRule="auto"/>
    </w:pPr>
    <w:rPr>
      <w:rFonts w:ascii="Times New Roman" w:eastAsiaTheme="minorEastAsia" w:hAnsi="Times New Roman" w:cs="Times New Roman"/>
      <w:sz w:val="24"/>
      <w:szCs w:val="24"/>
      <w:lang w:eastAsia="pt-BR"/>
    </w:rPr>
  </w:style>
  <w:style w:type="character" w:customStyle="1" w:styleId="CorpodetextoChar">
    <w:name w:val="Corpo de texto Char"/>
    <w:basedOn w:val="Fontepargpadro"/>
    <w:link w:val="Corpodetexto"/>
    <w:uiPriority w:val="99"/>
    <w:semiHidden/>
    <w:rsid w:val="005654A6"/>
    <w:rPr>
      <w:rFonts w:ascii="Times New Roman" w:eastAsiaTheme="minorEastAsia" w:hAnsi="Times New Roman" w:cs="Times New Roman"/>
      <w:sz w:val="24"/>
      <w:szCs w:val="24"/>
      <w:lang w:eastAsia="pt-BR"/>
    </w:rPr>
  </w:style>
  <w:style w:type="character" w:styleId="nfase">
    <w:name w:val="Emphasis"/>
    <w:basedOn w:val="Fontepargpadro"/>
    <w:uiPriority w:val="20"/>
    <w:qFormat/>
    <w:rsid w:val="005654A6"/>
    <w:rPr>
      <w:i/>
      <w:iCs/>
    </w:rPr>
  </w:style>
  <w:style w:type="paragraph" w:styleId="Cabealho">
    <w:name w:val="header"/>
    <w:basedOn w:val="Normal"/>
    <w:link w:val="CabealhoChar"/>
    <w:uiPriority w:val="99"/>
    <w:unhideWhenUsed/>
    <w:rsid w:val="008B3F5E"/>
    <w:pPr>
      <w:tabs>
        <w:tab w:val="center" w:pos="4252"/>
        <w:tab w:val="right" w:pos="8504"/>
      </w:tabs>
      <w:spacing w:line="240" w:lineRule="auto"/>
    </w:pPr>
  </w:style>
  <w:style w:type="character" w:customStyle="1" w:styleId="CabealhoChar">
    <w:name w:val="Cabeçalho Char"/>
    <w:basedOn w:val="Fontepargpadro"/>
    <w:link w:val="Cabealho"/>
    <w:uiPriority w:val="99"/>
    <w:rsid w:val="008B3F5E"/>
  </w:style>
  <w:style w:type="paragraph" w:styleId="Rodap">
    <w:name w:val="footer"/>
    <w:basedOn w:val="Normal"/>
    <w:link w:val="RodapChar"/>
    <w:uiPriority w:val="99"/>
    <w:semiHidden/>
    <w:unhideWhenUsed/>
    <w:rsid w:val="008B3F5E"/>
    <w:pPr>
      <w:tabs>
        <w:tab w:val="center" w:pos="4252"/>
        <w:tab w:val="right" w:pos="8504"/>
      </w:tabs>
      <w:spacing w:line="240" w:lineRule="auto"/>
    </w:pPr>
  </w:style>
  <w:style w:type="character" w:customStyle="1" w:styleId="RodapChar">
    <w:name w:val="Rodapé Char"/>
    <w:basedOn w:val="Fontepargpadro"/>
    <w:link w:val="Rodap"/>
    <w:uiPriority w:val="99"/>
    <w:semiHidden/>
    <w:rsid w:val="008B3F5E"/>
  </w:style>
  <w:style w:type="paragraph" w:styleId="Textodebalo">
    <w:name w:val="Balloon Text"/>
    <w:basedOn w:val="Normal"/>
    <w:link w:val="TextodebaloChar"/>
    <w:uiPriority w:val="99"/>
    <w:semiHidden/>
    <w:unhideWhenUsed/>
    <w:rsid w:val="008B3F5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B3F5E"/>
    <w:rPr>
      <w:rFonts w:ascii="Tahoma" w:hAnsi="Tahoma" w:cs="Tahoma"/>
      <w:sz w:val="16"/>
      <w:szCs w:val="16"/>
    </w:rPr>
  </w:style>
  <w:style w:type="paragraph" w:styleId="Textodenotaderodap">
    <w:name w:val="footnote text"/>
    <w:basedOn w:val="Normal"/>
    <w:link w:val="TextodenotaderodapChar"/>
    <w:uiPriority w:val="99"/>
    <w:semiHidden/>
    <w:unhideWhenUsed/>
    <w:rsid w:val="00AE774C"/>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AE774C"/>
    <w:rPr>
      <w:sz w:val="20"/>
      <w:szCs w:val="20"/>
    </w:rPr>
  </w:style>
  <w:style w:type="character" w:styleId="Refdenotaderodap">
    <w:name w:val="footnote reference"/>
    <w:basedOn w:val="Fontepargpadro"/>
    <w:uiPriority w:val="99"/>
    <w:semiHidden/>
    <w:unhideWhenUsed/>
    <w:rsid w:val="00AE774C"/>
    <w:rPr>
      <w:vertAlign w:val="superscript"/>
    </w:rPr>
  </w:style>
</w:styles>
</file>

<file path=word/webSettings.xml><?xml version="1.0" encoding="utf-8"?>
<w:webSettings xmlns:r="http://schemas.openxmlformats.org/officeDocument/2006/relationships" xmlns:w="http://schemas.openxmlformats.org/wordprocessingml/2006/main">
  <w:divs>
    <w:div w:id="5636663">
      <w:bodyDiv w:val="1"/>
      <w:marLeft w:val="0"/>
      <w:marRight w:val="0"/>
      <w:marTop w:val="0"/>
      <w:marBottom w:val="0"/>
      <w:divBdr>
        <w:top w:val="none" w:sz="0" w:space="0" w:color="auto"/>
        <w:left w:val="none" w:sz="0" w:space="0" w:color="auto"/>
        <w:bottom w:val="none" w:sz="0" w:space="0" w:color="auto"/>
        <w:right w:val="none" w:sz="0" w:space="0" w:color="auto"/>
      </w:divBdr>
    </w:div>
    <w:div w:id="96023654">
      <w:bodyDiv w:val="1"/>
      <w:marLeft w:val="0"/>
      <w:marRight w:val="0"/>
      <w:marTop w:val="0"/>
      <w:marBottom w:val="0"/>
      <w:divBdr>
        <w:top w:val="none" w:sz="0" w:space="0" w:color="auto"/>
        <w:left w:val="none" w:sz="0" w:space="0" w:color="auto"/>
        <w:bottom w:val="none" w:sz="0" w:space="0" w:color="auto"/>
        <w:right w:val="none" w:sz="0" w:space="0" w:color="auto"/>
      </w:divBdr>
    </w:div>
    <w:div w:id="127432896">
      <w:bodyDiv w:val="1"/>
      <w:marLeft w:val="0"/>
      <w:marRight w:val="0"/>
      <w:marTop w:val="0"/>
      <w:marBottom w:val="0"/>
      <w:divBdr>
        <w:top w:val="none" w:sz="0" w:space="0" w:color="auto"/>
        <w:left w:val="none" w:sz="0" w:space="0" w:color="auto"/>
        <w:bottom w:val="none" w:sz="0" w:space="0" w:color="auto"/>
        <w:right w:val="none" w:sz="0" w:space="0" w:color="auto"/>
      </w:divBdr>
    </w:div>
    <w:div w:id="189414194">
      <w:bodyDiv w:val="1"/>
      <w:marLeft w:val="0"/>
      <w:marRight w:val="0"/>
      <w:marTop w:val="0"/>
      <w:marBottom w:val="0"/>
      <w:divBdr>
        <w:top w:val="none" w:sz="0" w:space="0" w:color="auto"/>
        <w:left w:val="none" w:sz="0" w:space="0" w:color="auto"/>
        <w:bottom w:val="none" w:sz="0" w:space="0" w:color="auto"/>
        <w:right w:val="none" w:sz="0" w:space="0" w:color="auto"/>
      </w:divBdr>
    </w:div>
    <w:div w:id="355695869">
      <w:bodyDiv w:val="1"/>
      <w:marLeft w:val="0"/>
      <w:marRight w:val="0"/>
      <w:marTop w:val="0"/>
      <w:marBottom w:val="0"/>
      <w:divBdr>
        <w:top w:val="none" w:sz="0" w:space="0" w:color="auto"/>
        <w:left w:val="none" w:sz="0" w:space="0" w:color="auto"/>
        <w:bottom w:val="none" w:sz="0" w:space="0" w:color="auto"/>
        <w:right w:val="none" w:sz="0" w:space="0" w:color="auto"/>
      </w:divBdr>
    </w:div>
    <w:div w:id="365066875">
      <w:bodyDiv w:val="1"/>
      <w:marLeft w:val="0"/>
      <w:marRight w:val="0"/>
      <w:marTop w:val="0"/>
      <w:marBottom w:val="0"/>
      <w:divBdr>
        <w:top w:val="none" w:sz="0" w:space="0" w:color="auto"/>
        <w:left w:val="none" w:sz="0" w:space="0" w:color="auto"/>
        <w:bottom w:val="none" w:sz="0" w:space="0" w:color="auto"/>
        <w:right w:val="none" w:sz="0" w:space="0" w:color="auto"/>
      </w:divBdr>
    </w:div>
    <w:div w:id="1006205195">
      <w:bodyDiv w:val="1"/>
      <w:marLeft w:val="0"/>
      <w:marRight w:val="0"/>
      <w:marTop w:val="0"/>
      <w:marBottom w:val="0"/>
      <w:divBdr>
        <w:top w:val="none" w:sz="0" w:space="0" w:color="auto"/>
        <w:left w:val="none" w:sz="0" w:space="0" w:color="auto"/>
        <w:bottom w:val="none" w:sz="0" w:space="0" w:color="auto"/>
        <w:right w:val="none" w:sz="0" w:space="0" w:color="auto"/>
      </w:divBdr>
    </w:div>
    <w:div w:id="1124467878">
      <w:bodyDiv w:val="1"/>
      <w:marLeft w:val="0"/>
      <w:marRight w:val="0"/>
      <w:marTop w:val="0"/>
      <w:marBottom w:val="0"/>
      <w:divBdr>
        <w:top w:val="none" w:sz="0" w:space="0" w:color="auto"/>
        <w:left w:val="none" w:sz="0" w:space="0" w:color="auto"/>
        <w:bottom w:val="none" w:sz="0" w:space="0" w:color="auto"/>
        <w:right w:val="none" w:sz="0" w:space="0" w:color="auto"/>
      </w:divBdr>
    </w:div>
    <w:div w:id="1220019385">
      <w:bodyDiv w:val="1"/>
      <w:marLeft w:val="0"/>
      <w:marRight w:val="0"/>
      <w:marTop w:val="0"/>
      <w:marBottom w:val="0"/>
      <w:divBdr>
        <w:top w:val="none" w:sz="0" w:space="0" w:color="auto"/>
        <w:left w:val="none" w:sz="0" w:space="0" w:color="auto"/>
        <w:bottom w:val="none" w:sz="0" w:space="0" w:color="auto"/>
        <w:right w:val="none" w:sz="0" w:space="0" w:color="auto"/>
      </w:divBdr>
    </w:div>
    <w:div w:id="1400906169">
      <w:bodyDiv w:val="1"/>
      <w:marLeft w:val="0"/>
      <w:marRight w:val="0"/>
      <w:marTop w:val="0"/>
      <w:marBottom w:val="0"/>
      <w:divBdr>
        <w:top w:val="none" w:sz="0" w:space="0" w:color="auto"/>
        <w:left w:val="none" w:sz="0" w:space="0" w:color="auto"/>
        <w:bottom w:val="none" w:sz="0" w:space="0" w:color="auto"/>
        <w:right w:val="none" w:sz="0" w:space="0" w:color="auto"/>
      </w:divBdr>
    </w:div>
    <w:div w:id="1474521456">
      <w:bodyDiv w:val="1"/>
      <w:marLeft w:val="0"/>
      <w:marRight w:val="0"/>
      <w:marTop w:val="0"/>
      <w:marBottom w:val="0"/>
      <w:divBdr>
        <w:top w:val="none" w:sz="0" w:space="0" w:color="auto"/>
        <w:left w:val="none" w:sz="0" w:space="0" w:color="auto"/>
        <w:bottom w:val="none" w:sz="0" w:space="0" w:color="auto"/>
        <w:right w:val="none" w:sz="0" w:space="0" w:color="auto"/>
      </w:divBdr>
      <w:divsChild>
        <w:div w:id="181821992">
          <w:marLeft w:val="0"/>
          <w:marRight w:val="0"/>
          <w:marTop w:val="0"/>
          <w:marBottom w:val="0"/>
          <w:divBdr>
            <w:top w:val="none" w:sz="0" w:space="0" w:color="auto"/>
            <w:left w:val="none" w:sz="0" w:space="0" w:color="auto"/>
            <w:bottom w:val="none" w:sz="0" w:space="0" w:color="auto"/>
            <w:right w:val="none" w:sz="0" w:space="0" w:color="auto"/>
          </w:divBdr>
        </w:div>
        <w:div w:id="781461559">
          <w:marLeft w:val="0"/>
          <w:marRight w:val="0"/>
          <w:marTop w:val="0"/>
          <w:marBottom w:val="0"/>
          <w:divBdr>
            <w:top w:val="none" w:sz="0" w:space="0" w:color="auto"/>
            <w:left w:val="none" w:sz="0" w:space="0" w:color="auto"/>
            <w:bottom w:val="none" w:sz="0" w:space="0" w:color="auto"/>
            <w:right w:val="none" w:sz="0" w:space="0" w:color="auto"/>
          </w:divBdr>
        </w:div>
        <w:div w:id="1225875386">
          <w:marLeft w:val="0"/>
          <w:marRight w:val="0"/>
          <w:marTop w:val="0"/>
          <w:marBottom w:val="0"/>
          <w:divBdr>
            <w:top w:val="none" w:sz="0" w:space="0" w:color="auto"/>
            <w:left w:val="none" w:sz="0" w:space="0" w:color="auto"/>
            <w:bottom w:val="none" w:sz="0" w:space="0" w:color="auto"/>
            <w:right w:val="none" w:sz="0" w:space="0" w:color="auto"/>
          </w:divBdr>
        </w:div>
        <w:div w:id="379744704">
          <w:marLeft w:val="0"/>
          <w:marRight w:val="0"/>
          <w:marTop w:val="0"/>
          <w:marBottom w:val="0"/>
          <w:divBdr>
            <w:top w:val="none" w:sz="0" w:space="0" w:color="auto"/>
            <w:left w:val="none" w:sz="0" w:space="0" w:color="auto"/>
            <w:bottom w:val="none" w:sz="0" w:space="0" w:color="auto"/>
            <w:right w:val="none" w:sz="0" w:space="0" w:color="auto"/>
          </w:divBdr>
        </w:div>
        <w:div w:id="2091073365">
          <w:marLeft w:val="0"/>
          <w:marRight w:val="0"/>
          <w:marTop w:val="0"/>
          <w:marBottom w:val="0"/>
          <w:divBdr>
            <w:top w:val="none" w:sz="0" w:space="0" w:color="auto"/>
            <w:left w:val="none" w:sz="0" w:space="0" w:color="auto"/>
            <w:bottom w:val="none" w:sz="0" w:space="0" w:color="auto"/>
            <w:right w:val="none" w:sz="0" w:space="0" w:color="auto"/>
          </w:divBdr>
        </w:div>
        <w:div w:id="1130247102">
          <w:marLeft w:val="0"/>
          <w:marRight w:val="0"/>
          <w:marTop w:val="0"/>
          <w:marBottom w:val="0"/>
          <w:divBdr>
            <w:top w:val="none" w:sz="0" w:space="0" w:color="auto"/>
            <w:left w:val="none" w:sz="0" w:space="0" w:color="auto"/>
            <w:bottom w:val="none" w:sz="0" w:space="0" w:color="auto"/>
            <w:right w:val="none" w:sz="0" w:space="0" w:color="auto"/>
          </w:divBdr>
        </w:div>
        <w:div w:id="456727929">
          <w:marLeft w:val="0"/>
          <w:marRight w:val="0"/>
          <w:marTop w:val="0"/>
          <w:marBottom w:val="0"/>
          <w:divBdr>
            <w:top w:val="none" w:sz="0" w:space="0" w:color="auto"/>
            <w:left w:val="none" w:sz="0" w:space="0" w:color="auto"/>
            <w:bottom w:val="none" w:sz="0" w:space="0" w:color="auto"/>
            <w:right w:val="none" w:sz="0" w:space="0" w:color="auto"/>
          </w:divBdr>
        </w:div>
        <w:div w:id="816259339">
          <w:marLeft w:val="0"/>
          <w:marRight w:val="0"/>
          <w:marTop w:val="0"/>
          <w:marBottom w:val="0"/>
          <w:divBdr>
            <w:top w:val="none" w:sz="0" w:space="0" w:color="auto"/>
            <w:left w:val="none" w:sz="0" w:space="0" w:color="auto"/>
            <w:bottom w:val="none" w:sz="0" w:space="0" w:color="auto"/>
            <w:right w:val="none" w:sz="0" w:space="0" w:color="auto"/>
          </w:divBdr>
        </w:div>
        <w:div w:id="1002202820">
          <w:marLeft w:val="0"/>
          <w:marRight w:val="0"/>
          <w:marTop w:val="0"/>
          <w:marBottom w:val="0"/>
          <w:divBdr>
            <w:top w:val="none" w:sz="0" w:space="0" w:color="auto"/>
            <w:left w:val="none" w:sz="0" w:space="0" w:color="auto"/>
            <w:bottom w:val="none" w:sz="0" w:space="0" w:color="auto"/>
            <w:right w:val="none" w:sz="0" w:space="0" w:color="auto"/>
          </w:divBdr>
        </w:div>
        <w:div w:id="121578307">
          <w:marLeft w:val="0"/>
          <w:marRight w:val="0"/>
          <w:marTop w:val="0"/>
          <w:marBottom w:val="0"/>
          <w:divBdr>
            <w:top w:val="none" w:sz="0" w:space="0" w:color="auto"/>
            <w:left w:val="none" w:sz="0" w:space="0" w:color="auto"/>
            <w:bottom w:val="none" w:sz="0" w:space="0" w:color="auto"/>
            <w:right w:val="none" w:sz="0" w:space="0" w:color="auto"/>
          </w:divBdr>
        </w:div>
        <w:div w:id="1463233500">
          <w:marLeft w:val="0"/>
          <w:marRight w:val="0"/>
          <w:marTop w:val="0"/>
          <w:marBottom w:val="0"/>
          <w:divBdr>
            <w:top w:val="none" w:sz="0" w:space="0" w:color="auto"/>
            <w:left w:val="none" w:sz="0" w:space="0" w:color="auto"/>
            <w:bottom w:val="none" w:sz="0" w:space="0" w:color="auto"/>
            <w:right w:val="none" w:sz="0" w:space="0" w:color="auto"/>
          </w:divBdr>
        </w:div>
        <w:div w:id="1028142755">
          <w:marLeft w:val="0"/>
          <w:marRight w:val="0"/>
          <w:marTop w:val="0"/>
          <w:marBottom w:val="0"/>
          <w:divBdr>
            <w:top w:val="none" w:sz="0" w:space="0" w:color="auto"/>
            <w:left w:val="none" w:sz="0" w:space="0" w:color="auto"/>
            <w:bottom w:val="none" w:sz="0" w:space="0" w:color="auto"/>
            <w:right w:val="none" w:sz="0" w:space="0" w:color="auto"/>
          </w:divBdr>
        </w:div>
        <w:div w:id="666059804">
          <w:marLeft w:val="0"/>
          <w:marRight w:val="0"/>
          <w:marTop w:val="0"/>
          <w:marBottom w:val="0"/>
          <w:divBdr>
            <w:top w:val="none" w:sz="0" w:space="0" w:color="auto"/>
            <w:left w:val="none" w:sz="0" w:space="0" w:color="auto"/>
            <w:bottom w:val="none" w:sz="0" w:space="0" w:color="auto"/>
            <w:right w:val="none" w:sz="0" w:space="0" w:color="auto"/>
          </w:divBdr>
        </w:div>
        <w:div w:id="11881456">
          <w:marLeft w:val="0"/>
          <w:marRight w:val="0"/>
          <w:marTop w:val="0"/>
          <w:marBottom w:val="0"/>
          <w:divBdr>
            <w:top w:val="none" w:sz="0" w:space="0" w:color="auto"/>
            <w:left w:val="none" w:sz="0" w:space="0" w:color="auto"/>
            <w:bottom w:val="none" w:sz="0" w:space="0" w:color="auto"/>
            <w:right w:val="none" w:sz="0" w:space="0" w:color="auto"/>
          </w:divBdr>
        </w:div>
      </w:divsChild>
    </w:div>
    <w:div w:id="1520464915">
      <w:bodyDiv w:val="1"/>
      <w:marLeft w:val="0"/>
      <w:marRight w:val="0"/>
      <w:marTop w:val="0"/>
      <w:marBottom w:val="0"/>
      <w:divBdr>
        <w:top w:val="none" w:sz="0" w:space="0" w:color="auto"/>
        <w:left w:val="none" w:sz="0" w:space="0" w:color="auto"/>
        <w:bottom w:val="none" w:sz="0" w:space="0" w:color="auto"/>
        <w:right w:val="none" w:sz="0" w:space="0" w:color="auto"/>
      </w:divBdr>
    </w:div>
    <w:div w:id="1585070721">
      <w:bodyDiv w:val="1"/>
      <w:marLeft w:val="0"/>
      <w:marRight w:val="0"/>
      <w:marTop w:val="0"/>
      <w:marBottom w:val="0"/>
      <w:divBdr>
        <w:top w:val="none" w:sz="0" w:space="0" w:color="auto"/>
        <w:left w:val="none" w:sz="0" w:space="0" w:color="auto"/>
        <w:bottom w:val="none" w:sz="0" w:space="0" w:color="auto"/>
        <w:right w:val="none" w:sz="0" w:space="0" w:color="auto"/>
      </w:divBdr>
    </w:div>
    <w:div w:id="1746950583">
      <w:bodyDiv w:val="1"/>
      <w:marLeft w:val="0"/>
      <w:marRight w:val="0"/>
      <w:marTop w:val="0"/>
      <w:marBottom w:val="0"/>
      <w:divBdr>
        <w:top w:val="none" w:sz="0" w:space="0" w:color="auto"/>
        <w:left w:val="none" w:sz="0" w:space="0" w:color="auto"/>
        <w:bottom w:val="none" w:sz="0" w:space="0" w:color="auto"/>
        <w:right w:val="none" w:sz="0" w:space="0" w:color="auto"/>
      </w:divBdr>
    </w:div>
    <w:div w:id="189978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45963-9E4B-4449-9460-9E6E08E3D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5</Pages>
  <Words>1973</Words>
  <Characters>10659</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Elizangela</cp:lastModifiedBy>
  <cp:revision>13</cp:revision>
  <cp:lastPrinted>2013-02-15T14:17:00Z</cp:lastPrinted>
  <dcterms:created xsi:type="dcterms:W3CDTF">2013-04-24T12:42:00Z</dcterms:created>
  <dcterms:modified xsi:type="dcterms:W3CDTF">2013-05-23T18:04:00Z</dcterms:modified>
</cp:coreProperties>
</file>